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Σίνα 2-4, Αθήνα 106 72</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p>
    <w:p>
      <w:pPr>
        <w:spacing w:before="240" w:after="240"/>
        <w:rPr>
          <w:lang w:val="el" w:eastAsia="el"/>
        </w:rPr>
      </w:pPr>
      <w:r>
        <w:rPr>
          <w:b/>
          <w:bCs/>
          <w:lang w:val="el" w:eastAsia="el"/>
        </w:rPr>
        <w:t>ΕΞ. ΕΠΕΙΓΟYΣΑ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ΩΥ0Λ46ΜΠ3Ζ-16Π</w:t>
      </w:r>
    </w:p>
    <w:p>
      <w:pPr>
        <w:spacing w:before="240" w:after="240"/>
        <w:rPr>
          <w:lang w:val="el" w:eastAsia="el"/>
        </w:rPr>
      </w:pPr>
      <w:r>
        <w:rPr>
          <w:b/>
          <w:bCs/>
          <w:lang w:val="el" w:eastAsia="el"/>
        </w:rPr>
        <w:t>Αριθ. ΦΕΚ: Β’ 5268/12.11.2021</w:t>
      </w:r>
    </w:p>
    <w:p>
      <w:pPr>
        <w:spacing w:before="240" w:after="240"/>
        <w:rPr>
          <w:lang w:val="el" w:eastAsia="el"/>
        </w:rPr>
      </w:pPr>
      <w:r>
        <w:rPr>
          <w:b/>
          <w:bCs/>
          <w:lang w:val="el" w:eastAsia="el"/>
        </w:rPr>
        <w:t>Αθήνα, 5.11.2021</w:t>
      </w:r>
    </w:p>
    <w:p>
      <w:pPr>
        <w:spacing w:before="240" w:after="240"/>
        <w:rPr>
          <w:lang w:val="el" w:eastAsia="el"/>
        </w:rPr>
      </w:pPr>
      <w:r>
        <w:rPr>
          <w:b/>
          <w:bCs/>
          <w:lang w:val="el" w:eastAsia="el"/>
        </w:rPr>
        <w:t>A.1240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Απαλλαγή από ΦΠΑ για δωρεάν παραδόσεις αγαθών και παροχές υπηρεσιών από υποκειμένους στον ΦΠΑ για την κάλυψη των αναγκών των πληγέντων από τη σεισμική δόνηση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των παρ. 2 και 4 του άρθρου 7 και της παρ. 2 του άρθρου 9 του Κώδικα Φόρου Προστιθέμενης Αξίας (Φ.Π.Α.)(ν.2859/2000, Α΄ 248).</w:t>
      </w:r>
    </w:p>
    <w:p>
      <w:pPr>
        <w:spacing w:before="240" w:after="240"/>
        <w:rPr>
          <w:lang w:val="el" w:eastAsia="el"/>
        </w:rPr>
      </w:pPr>
      <w:r>
        <w:rPr>
          <w:b/>
          <w:bCs/>
          <w:lang w:val="el" w:eastAsia="el"/>
        </w:rPr>
        <w:t xml:space="preserve">2.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4.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5. </w:t>
      </w:r>
      <w:r>
        <w:rPr>
          <w:b/>
          <w:bCs/>
          <w:lang w:val="el" w:eastAsia="el"/>
        </w:rPr>
        <w:t>Το άρθρο 1 του π.δ. 84/2019,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b/>
          <w:bCs/>
          <w:lang w:val="el" w:eastAsia="el"/>
        </w:rPr>
        <w:t xml:space="preserve">6. </w:t>
      </w:r>
      <w:r>
        <w:rPr>
          <w:b/>
          <w:bCs/>
          <w:lang w:val="el" w:eastAsia="el"/>
        </w:rPr>
        <w:t>Τις διατάξεις του π.δ. 142/2017 «Οργανισμός του Υπουργείου Οικονομικών»(Α’ 181).</w:t>
      </w:r>
    </w:p>
    <w:p>
      <w:pPr>
        <w:spacing w:before="240" w:after="240"/>
        <w:rPr>
          <w:lang w:val="el" w:eastAsia="el"/>
        </w:rPr>
      </w:pPr>
      <w:r>
        <w:rPr>
          <w:b/>
          <w:bCs/>
          <w:lang w:val="el" w:eastAsia="el"/>
        </w:rPr>
        <w:t xml:space="preserve">7. </w:t>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b/>
          <w:bCs/>
          <w:lang w:val="el" w:eastAsia="el"/>
        </w:rPr>
        <w:t xml:space="preserve">8.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9. </w:t>
      </w:r>
      <w:r>
        <w:rPr>
          <w:b/>
          <w:bCs/>
          <w:lang w:val="el" w:eastAsia="el"/>
        </w:rPr>
        <w:t>Την υπ' αρ. 8648/27.09.2021 (ΑΔΑ: 9Κ9Ζ46ΝΠΙΘ-6ΤΓ) απόφαση του Γενικού Γραμματέα Πολιτικής Προστασίας, με την οποία κηρύχτηκε σε κατάσταση Έκτακτης Ανάγκης Πολιτικής Προστασίας, έως και 28.03.2022, ο Δήμος Μινώα Πεδιάδας της Περιφερειακής Ενότητας Ηρακλείου της Περιφέρειας Κρήτης.</w:t>
      </w:r>
    </w:p>
    <w:p>
      <w:pPr>
        <w:spacing w:before="240" w:after="240"/>
        <w:rPr>
          <w:lang w:val="el" w:eastAsia="el"/>
        </w:rPr>
      </w:pPr>
      <w:r>
        <w:rPr>
          <w:b/>
          <w:bCs/>
          <w:lang w:val="el" w:eastAsia="el"/>
        </w:rPr>
        <w:t xml:space="preserve">10. </w:t>
      </w:r>
      <w:r>
        <w:rPr>
          <w:b/>
          <w:bCs/>
          <w:lang w:val="el" w:eastAsia="el"/>
        </w:rPr>
        <w:t>Την υπ' αρ. 8752/30.9.2021 (ΑΔΑ: 9Ω6Ρ46ΝΠΙΘ-1ΥΘ) απόφαση του Γενικού Γραμματέα Πολιτικής Προστασίας, με την οποία κηρύχτηκε σε κατάσταση Έκτακτης Ανάγκης Πολιτικής Προστασίας, έως και 28.03.2022, ο Δήμος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 xml:space="preserve">11. </w:t>
      </w:r>
      <w:r>
        <w:rPr>
          <w:b/>
          <w:bCs/>
          <w:lang w:val="el" w:eastAsia="el"/>
        </w:rPr>
        <w:t>Την ανάγκη εξυπηρέτησης και διευκόλυνσης των πληγέντων για αντιμετώπιση αναγκών που έχουν προκύψει συνεπεία της σεισμικής δόνησης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Δε θεωρούνται ως παραδόσεις αγαθών και ως παροχές υπηρεσιών εξ επαχθούς αιτίας και ως εκ τούτου απαλλάσσονται του ΦΠΑ της αυτοπαράδοσης αγαθών και της ιδιοχρησιμοποίησης υπηρεσιών, αντίστοιχα, οι άνευ ανταλλάγματος παραδόσεις αγαθών και παροχές υπηρεσιών που πραγματοποιούνται από υποκειμένους στον ΦΠΑ, σύμφωνα με τις διατάξεις των υποπερ. αα΄ και δδ΄ της περ. β΄ της παρ.2 του άρθρου 7 και της παρ. 2 του άρθρου 9 του Κώδικα ΦΠΑ, για την κάλυψη των αναγκών πληγέντων από τη σεισμική δόνηση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Οι όροι και οι λεπτομέρειες εφαρμογής της απαλλαγής από τον ΦΠΑ καθορίζονται ως ακολούθως:</w:t>
      </w:r>
    </w:p>
    <w:p>
      <w:pPr>
        <w:spacing w:before="240" w:after="240"/>
        <w:rPr>
          <w:lang w:val="el" w:eastAsia="el"/>
        </w:rPr>
      </w:pPr>
      <w:r>
        <w:rPr>
          <w:b/>
          <w:bCs/>
          <w:lang w:val="el" w:eastAsia="el"/>
        </w:rPr>
        <w:t xml:space="preserve">1. </w:t>
      </w:r>
      <w:r>
        <w:rPr>
          <w:b/>
          <w:bCs/>
          <w:lang w:val="el" w:eastAsia="el"/>
        </w:rPr>
        <w:t>Για την εφαρμογή της παρούσης, νοούνται ως:</w:t>
      </w:r>
    </w:p>
    <w:p>
      <w:pPr>
        <w:spacing w:before="240" w:after="240"/>
        <w:rPr>
          <w:lang w:val="el" w:eastAsia="el"/>
        </w:rPr>
      </w:pPr>
      <w:r>
        <w:rPr>
          <w:b/>
          <w:bCs/>
          <w:lang w:val="el" w:eastAsia="el"/>
        </w:rPr>
        <w:t>α. «Δωρητές», επιχειρήσεις υποκείμενες στον ΦΠΑ, που παραδίδουν αγαθά ή παρέχουν υπηρεσίες άνευ ανταλλάγματος για την εξυπηρέτηση των αναγκών των πληγέντων από τη σεισμική δόνηση που σημειώθηκε την 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β. «Αποδέκτες», Ν.Π.Δ.Δ. ή Ν.Π.Ι.Δ. μη κερδοσκοπικού χαρακτήρα που έχουν συσταθεί νόμιμα στην Ελλάδα και έχουν αποδεδειγμένα φιλανθρωπικό ή κοινωφελή σκοπό, οι υπηρεσίες του Δημοσίου Τομέα, οι Ο.Τ.Α. και τα Ν.Π.Δ.Δ., όπως ορίζονται στο άρθρο 14 του ν. 4270/2014 (Α΄ 143), που λαμβάνουν τα αγαθά ή/και τις υπηρεσίες άνευ ανταλλάγματος για την κάλυψη αναγκών που έχουν προκύψει από τη σεισμική δόνηση που σημειώθηκε την</w:t>
      </w:r>
    </w:p>
    <w:p>
      <w:pPr>
        <w:spacing w:before="240" w:after="240"/>
        <w:rPr>
          <w:lang w:val="el" w:eastAsia="el"/>
        </w:rPr>
      </w:pPr>
      <w:r>
        <w:rPr>
          <w:b/>
          <w:bCs/>
          <w:lang w:val="el" w:eastAsia="el"/>
        </w:rPr>
        <w:t>27/9/2021 και των ζημιών που αυτή προκάλεσε στη γεωγραφική περιοχή των Δήμων Μινώα Πεδιάδος και Αρχανών – Αστερουσίων της Περιφερειακής Ενότητας Ηρακλείου της Περιφέρειας Κρήτης.</w:t>
      </w:r>
    </w:p>
    <w:p>
      <w:pPr>
        <w:spacing w:before="240" w:after="240"/>
        <w:rPr>
          <w:lang w:val="el" w:eastAsia="el"/>
        </w:rPr>
      </w:pPr>
      <w:r>
        <w:rPr>
          <w:b/>
          <w:bCs/>
          <w:lang w:val="el" w:eastAsia="el"/>
        </w:rPr>
        <w:t>Για την πιστοποίηση της δωρεάς μεταξύ του δωρητή και του αποδέκτη συντάσσεται, το αργότερο έως την παράδοση των αγαθών ή την ολοκλήρωση της παροχής των υπηρεσιών, πρωτόκολλο παράδοσης/παραλαβής των αγαθών ή παροχής/λήψης των υπηρεσιών, αντίστοιχα.</w:t>
      </w:r>
    </w:p>
    <w:p>
      <w:pPr>
        <w:spacing w:before="240" w:after="240"/>
        <w:rPr>
          <w:lang w:val="el" w:eastAsia="el"/>
        </w:rPr>
      </w:pPr>
      <w:r>
        <w:rPr>
          <w:b/>
          <w:bCs/>
          <w:lang w:val="el" w:eastAsia="el"/>
        </w:rPr>
        <w:t xml:space="preserve">2. </w:t>
      </w:r>
      <w:r>
        <w:rPr>
          <w:b/>
          <w:bCs/>
          <w:lang w:val="el" w:eastAsia="el"/>
        </w:rPr>
        <w:t>Το ανωτέρω πρωτόκολλο θα πρέπει να περιέχει τουλάχιστον την περιγραφή του είδους και της ποσότητας των αγαθών που διατίθενται και του είδους και ενδεχομένως της διάρκειας των υπηρεσιών που παρέχονται, την ημερομηνία πραγματοποίησης της δωρεάν διάθεσής τους, τα πλήρη στοιχεία του δωρητή και του αποδέκτη των αγαθών και υπηρεσιών, όπως επωνυμία, αριθμό φορολογικού μητρώου, ταχυδρομική διεύθυνση, τηλέφωνο επικοινωνίας και την ημερομηνία υπογραφής.</w:t>
      </w:r>
    </w:p>
    <w:p>
      <w:pPr>
        <w:spacing w:before="240" w:after="240"/>
        <w:rPr>
          <w:lang w:val="el" w:eastAsia="el"/>
        </w:rPr>
      </w:pPr>
      <w:r>
        <w:rPr>
          <w:b/>
          <w:bCs/>
          <w:lang w:val="el" w:eastAsia="el"/>
        </w:rPr>
        <w:t xml:space="preserve">3. </w:t>
      </w:r>
      <w:r>
        <w:rPr>
          <w:b/>
          <w:bCs/>
          <w:lang w:val="el" w:eastAsia="el"/>
        </w:rPr>
        <w:t>Το πρωτόκολλο αυτό αποτελεί αποδεικτικό πραγματοποίησης της δωρεάν διάθεσης των αγαθών ή των υπηρεσιών, συντάσσεται εις διπλούν και υπογράφεται και στα δύο αντίτυπα από τον δωρητή και τον αποδέκτη. Το ένα αντίτυπο διατηρεί ο δωρητής και το άλλο παραδίδεται στον αποδέκτη.</w:t>
      </w:r>
    </w:p>
    <w:p>
      <w:pPr>
        <w:spacing w:before="240" w:after="240"/>
        <w:rPr>
          <w:lang w:val="el" w:eastAsia="el"/>
        </w:rPr>
      </w:pPr>
      <w:r>
        <w:rPr>
          <w:b/>
          <w:bCs/>
          <w:lang w:val="el" w:eastAsia="el"/>
        </w:rPr>
        <w:t xml:space="preserve">4. </w:t>
      </w:r>
      <w:r>
        <w:rPr>
          <w:b/>
          <w:bCs/>
          <w:lang w:val="el" w:eastAsia="el"/>
        </w:rPr>
        <w:t>Ο δωρητής αποστέλλει ταχυδρομικά με συστημένη επιστολή ή υπηρεσία ταχυμεταφοράς ή με ψηφιακή απεικόνιση (scan) μέσω μηνύματος ηλεκτρονικού ταχυδρομείου στη Δ.Ο.Υ στην οποία υπάγεται για τον Φ.Π.Α., ενυπόγραφη κατάσταση των πρωτοκόλλων παράδοσης/παρα- λαβής αγαθών ή παροχής/λήψης υπηρεσιών που έχει συνάψει ανά φορολογική περίοδο, στις προθεσμίες υποβολής των δηλώσεων ΦΠΑ. Επίσης είναι δυνατή η κατάθεση των καταστάσεων αυτών και στην αρμόδια ως άνω Δ.Ο.Υ. Το αποδεικτικό του ταχυδρομείου ή της υπηρεσίας ταχυμεταφοράς ή το αυτοματοποιημένο μήνυμα που αποστέλλεται ως απάντηση στο ηλεκτρονικό μήνυμα του δωρητή, αποτελεί γι’ αυτόν αποδεικτικό υποβολής της κατάστασης και επέχει θέση απόδειξης παραλαβής εκ μέρους της Δ.Ο.Υ.</w:t>
      </w:r>
    </w:p>
    <w:p>
      <w:pPr>
        <w:spacing w:before="240" w:after="240"/>
        <w:rPr>
          <w:lang w:val="el" w:eastAsia="el"/>
        </w:rPr>
      </w:pPr>
      <w:r>
        <w:rPr>
          <w:b/>
          <w:bCs/>
          <w:lang w:val="el" w:eastAsia="el"/>
        </w:rPr>
        <w:t xml:space="preserve">5. </w:t>
      </w:r>
      <w:r>
        <w:rPr>
          <w:b/>
          <w:bCs/>
          <w:lang w:val="el" w:eastAsia="el"/>
        </w:rPr>
        <w:t>Οι δωρητές και οι αποδέκτες των αγαθών και υπηρεσιών οφείλουν να διαφυλάττουν το αντίτυπο του πρωτοκόλλου παράδοσης /παραλαβής αγαθών ή παροχής/λήψης υπηρεσιών για όσο χρόνο προβλέπεται από τον Κώδικα Φορολογικής Διαδικασίας (ν. 4174/13) η διαφύλαξη λογιστικών αρχείων. Επίσης, οι αποδέκτες οφείλουν να τηρούν, για αντίστοιχο χρονικό διάστημα, κατάσταση, στην οποία θα καταχωρούν τον τρόπο, τον τόπο και το χρόνο (ημερομηνία) που έλαβε χώρα η περαιτέρω διάθεση των αγαθών και υπηρεσιών στους πληγέντες από τον σεισμό, καθώς και την ποσότητα και το είδος των αγαθών και το είδος και την ενδεχόμενη διάρκεια των υπηρεσιών που διατέθηκαν σε αυτούς.</w:t>
      </w:r>
    </w:p>
    <w:p>
      <w:pPr>
        <w:spacing w:before="240" w:after="240"/>
        <w:rPr>
          <w:lang w:val="el" w:eastAsia="el"/>
        </w:rPr>
      </w:pPr>
      <w:r>
        <w:rPr>
          <w:b/>
          <w:bCs/>
          <w:lang w:val="el" w:eastAsia="el"/>
        </w:rPr>
        <w:t xml:space="preserve">6. </w:t>
      </w:r>
      <w:r>
        <w:rPr>
          <w:b/>
          <w:bCs/>
          <w:lang w:val="el" w:eastAsia="el"/>
        </w:rPr>
        <w:t>Ειδικά για τις δωρεάν παραδόσεις αγαθών και παροχές υπηρεσιών που πραγματοποιήθηκαν από 27/9/2021 έως την ημερομηνία δημοσίευσης της παρούσης στην Εφημερίδα της Κυ- βερνήσεως, ελλείψει της σύνταξης του πρωτοκόλλου, αποδεικτικό των πράξεων αυτών αποτελεί το στοιχείο αυτοπαράδοσης ή ιδιοχρησιμοποίησης που εκδίδεται για τον αναλογούντα ΦΠΑ εκροών. Οι υποκείμενοι στον φόρο, για να αποδείξουν ότι ενήργησαν ως «δωρητές» κατά την έννοια της παρούσης, υποχρεούνται να συντάξουν έως 31/12/2021 πρωτόκολλο παράδοσης/ παραλαβής των αγαθών ή παροχής/λήψης των υπηρεσιών και να διαθέτουν στοιχεία από τα οποια προκύπτει ότι ενέργησαν ως δωρητές (ενδεικτικά να διαθέτουν στοιχείο μη τιμολογη- θέντων αγαθών με τα στοιχεία του παραλήπτη). Τα ποσά του ΦΠΑ με τα οποία έχουν επιβαρυνθεί τα στοιχεία αυτοπαράδοσης ή ιδιοχρησιμοποίησης που έχουν εκδοθεί από τους δωρητές, καταχωρούνται στον κωδικό των προστιθεμένων ποσών του φόρου εισροών της οικείας δήλωσης ΦΠΑ.</w:t>
      </w:r>
    </w:p>
    <w:p>
      <w:pPr>
        <w:spacing w:before="240" w:after="240"/>
        <w:rPr>
          <w:lang w:val="el" w:eastAsia="el"/>
        </w:rPr>
      </w:pPr>
      <w:r>
        <w:rPr>
          <w:b/>
          <w:bCs/>
          <w:lang w:val="el" w:eastAsia="el"/>
        </w:rPr>
        <w:t xml:space="preserve">7. </w:t>
      </w:r>
      <w:r>
        <w:rPr>
          <w:b/>
          <w:bCs/>
          <w:lang w:val="el" w:eastAsia="el"/>
        </w:rPr>
        <w:t>Η απόφαση αυτή η οποια ισχύει για πράξεις που πραγματοποιούνται από 27/9/2021.να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ΑΠΠΟΣΤΟΛΟΣ ΒΕΣΥΡΟΠΟΥΛΟΣ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1 και 2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after="240"/>
              <w:rPr>
                <w:b w:val="0"/>
                <w:bCs w:val="0"/>
                <w:i w:val="0"/>
                <w:iCs w:val="0"/>
                <w:smallCaps w:val="0"/>
                <w:color w:val="000000"/>
                <w:lang w:val="el" w:eastAsia="el"/>
              </w:rPr>
            </w:pPr>
            <w:r>
              <w:rPr>
                <w:b/>
                <w:bCs/>
                <w:i w:val="0"/>
                <w:iCs w:val="0"/>
                <w:smallCaps w:val="0"/>
                <w:color w:val="000000"/>
                <w:lang w:val="el" w:eastAsia="el"/>
              </w:rPr>
              <w:t>ΙΣΤ΄.</w:t>
            </w:r>
          </w:p>
          <w:p>
            <w:pPr>
              <w:spacing w:before="240" w:after="240"/>
              <w:rPr>
                <w:b w:val="0"/>
                <w:bCs w:val="0"/>
                <w:i w:val="0"/>
                <w:iCs w:val="0"/>
                <w:smallCaps w:val="0"/>
                <w:color w:val="000000"/>
                <w:lang w:val="el" w:eastAsia="el"/>
              </w:rPr>
            </w:pPr>
            <w:r>
              <w:rPr>
                <w:b/>
                <w:bCs/>
                <w:i w:val="0"/>
                <w:iCs w:val="0"/>
                <w:smallCaps w:val="0"/>
                <w:color w:val="000000"/>
                <w:lang w:val="el" w:eastAsia="el"/>
              </w:rPr>
              <w:t>ΙΖ΄.</w:t>
            </w:r>
          </w:p>
          <w:p>
            <w:pPr>
              <w:spacing w:before="240" w:after="240"/>
              <w:rPr>
                <w:b w:val="0"/>
                <w:bCs w:val="0"/>
                <w:i w:val="0"/>
                <w:iCs w:val="0"/>
                <w:smallCaps w:val="0"/>
                <w:color w:val="000000"/>
                <w:lang w:val="el" w:eastAsia="el"/>
              </w:rPr>
            </w:pPr>
            <w:r>
              <w:rPr>
                <w:b/>
                <w:bCs/>
                <w:i w:val="0"/>
                <w:iCs w:val="0"/>
                <w:smallCaps w:val="0"/>
                <w:color w:val="000000"/>
                <w:lang w:val="el" w:eastAsia="el"/>
              </w:rPr>
              <w:t>ΙΘ΄.</w:t>
            </w:r>
          </w:p>
          <w:p>
            <w:pPr>
              <w:spacing w:before="240"/>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b/>
          <w:bCs/>
          <w:lang w:val="el" w:eastAsia="el"/>
        </w:rPr>
        <w:t xml:space="preserve">13. </w:t>
      </w:r>
      <w:r>
        <w:rPr>
          <w:b/>
          <w:bCs/>
          <w:lang w:val="el" w:eastAsia="el"/>
        </w:rPr>
        <w:t>Γραφείο Υπουργού Οικονομικών κ. Χ. Σταïκούρα</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