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Β2β/οικ. 72308/18-11-2021</w:t>
      </w:r>
    </w:p>
    <w:p>
      <w:pPr>
        <w:pStyle w:val="Title"/>
        <w:spacing w:before="120" w:after="360"/>
        <w:rPr>
          <w:lang w:val="el" w:eastAsia="el"/>
        </w:rPr>
      </w:pPr>
      <w:r>
        <w:rPr>
          <w:lang w:val="el" w:eastAsia="el"/>
        </w:rPr>
        <w:t>Ρύθμιση οφειλών παρόχων κατ’ εξουσιοδότηση του άρθρου 10 του ν. 4647/2019</w:t>
      </w:r>
    </w:p>
    <w:p>
      <w:pPr>
        <w:pStyle w:val="Title"/>
        <w:spacing w:before="120" w:after="360"/>
        <w:rPr>
          <w:lang w:val="el" w:eastAsia="el"/>
        </w:rPr>
      </w:pPr>
      <w:r>
        <w:rPr>
          <w:b/>
          <w:bCs/>
          <w:lang w:val="el" w:eastAsia="el"/>
        </w:rPr>
        <w:t>Αριθμ. Β2β/οικ. 72308/2021</w:t>
      </w:r>
    </w:p>
    <w:p>
      <w:pPr>
        <w:pStyle w:val="PreambelText"/>
        <w:spacing w:before="240" w:after="240"/>
        <w:rPr>
          <w:lang w:val="el" w:eastAsia="el"/>
        </w:rPr>
      </w:pPr>
      <w:r>
        <w:rPr>
          <w:lang w:val="el" w:eastAsia="el"/>
        </w:rPr>
        <w:t>(ΦΕΚ Β' 5436/22-11-2021)</w:t>
      </w:r>
    </w:p>
    <w:p>
      <w:pPr>
        <w:pStyle w:val="PreambelText"/>
        <w:spacing w:before="240" w:after="240"/>
        <w:rPr>
          <w:lang w:val="el" w:eastAsia="el"/>
        </w:rPr>
      </w:pPr>
      <w:r>
        <w:rPr>
          <w:lang w:val="el" w:eastAsia="el"/>
        </w:rPr>
        <w:t>Ο ΥΠΟΥΡΓΟΣ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34 του ν. 3918/2011 «Διαρθρωτικές αλλαγές στο σύστημα υγείας και άλλες διατάξεις» (Α’ 31), όπως τροποποιήθηκε με το άρθρο 28 του ν. 4816/2021 «Πρόληψη και καταστολή της νομιμοποίησης εσόδων από εγκληματικές δραστηριότητες και της χρηματοδότησης της τρομοκρατίας-Τροποποίηση του ν. 4557/2018 Ενσωμάτωση της Οδηγίας (ΕΕ) 2018/1673 του Ευρωπαϊκού Κοινοβουλίου και του Συμβουλίου, της 23ης Οκτωβρίου 2018, σχετικά με την καταπολέμηση της νομιμοποίησης εσόδων από παράνομες δραστηριότητες μέσω του ποινικού δικαίου, επιτάχυνση της απονομής της δικαιοσύνης και άλλες επείγουσες διατάξεις» (Α΄ 118).</w:t>
      </w:r>
    </w:p>
    <w:p>
      <w:pPr>
        <w:pStyle w:val="PreambelText"/>
        <w:spacing w:before="240" w:after="240"/>
        <w:rPr>
          <w:lang w:val="el" w:eastAsia="el"/>
        </w:rPr>
      </w:pPr>
      <w:r>
        <w:rPr>
          <w:lang w:val="el" w:eastAsia="el"/>
        </w:rPr>
        <w:t>2. Τις διατάξεις του ν. 4238/2014 «Πρωτοβάθμιο Εθνικό Δίκτυο Υγείας (ΠΕΔΥ), αλλαγή σκοπού ΕΟΠΥΥ και άλλες λοιπές διατάξεις» (Α’ 38).</w:t>
      </w:r>
    </w:p>
    <w:p>
      <w:pPr>
        <w:pStyle w:val="PreambelText"/>
        <w:spacing w:before="240" w:after="240"/>
        <w:rPr>
          <w:lang w:val="el" w:eastAsia="el"/>
        </w:rPr>
      </w:pPr>
      <w:r>
        <w:rPr>
          <w:lang w:val="el" w:eastAsia="el"/>
        </w:rPr>
        <w:t>3. Το άρθρο 90 «Κώδικα Νομοθεσίας για την Κυβέρνηση και τα κυβερνητικά όργανα» (π.δ. 63/2005, Α’ 98), σε συνδυασμό με την παρ. 22 του άρθρου 119 του ν. 4622/2019 (Α’ 133).</w:t>
      </w:r>
    </w:p>
    <w:p>
      <w:pPr>
        <w:pStyle w:val="PreambelText"/>
        <w:spacing w:before="240" w:after="240"/>
        <w:rPr>
          <w:lang w:val="el" w:eastAsia="el"/>
        </w:rPr>
      </w:pPr>
      <w:r>
        <w:rPr>
          <w:lang w:val="el" w:eastAsia="el"/>
        </w:rPr>
        <w:t>4. Τις διατάξεις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5. Τις διατάξεις του π.δ. 121/2017 «Οργανισμός του Υπουργείου Υγείας» (Α’ 128).</w:t>
      </w:r>
    </w:p>
    <w:p>
      <w:pPr>
        <w:pStyle w:val="PreambelText"/>
        <w:spacing w:before="240" w:after="240"/>
        <w:rPr>
          <w:lang w:val="el" w:eastAsia="el"/>
        </w:rPr>
      </w:pPr>
      <w:r>
        <w:rPr>
          <w:lang w:val="el" w:eastAsia="el"/>
        </w:rPr>
        <w:t>6. Τις διατάξεις του π.δ. 68/2021 «Διορισμός Υπουργών, Αναπληρώτριας Υπουργού και Υφυπουργών» (Α’ 155).</w:t>
      </w:r>
    </w:p>
    <w:p>
      <w:pPr>
        <w:pStyle w:val="PreambelText"/>
        <w:spacing w:before="240" w:after="240"/>
        <w:rPr>
          <w:lang w:val="el" w:eastAsia="el"/>
        </w:rPr>
      </w:pPr>
      <w:r>
        <w:rPr>
          <w:lang w:val="el" w:eastAsia="el"/>
        </w:rPr>
        <w:t>7. Την υπό στοιχεία 70781/11-11-2021 εισήγηση του ΓΔΟΥ, της περ. (ε) της παρ. 5 του άρθρου 24 του ν. 4270/2014.</w:t>
      </w:r>
    </w:p>
    <w:p>
      <w:pPr>
        <w:pStyle w:val="PreambelText"/>
        <w:spacing w:before="240" w:after="240"/>
        <w:rPr>
          <w:lang w:val="el" w:eastAsia="el"/>
        </w:rPr>
      </w:pPr>
      <w:r>
        <w:rPr>
          <w:lang w:val="el" w:eastAsia="el"/>
        </w:rPr>
        <w:t>8. Την υπό στοιχεία Α1α/οικ. 17148/10-03-2020 απόφαση του Υπουργού Υγείας με θέμα: «Διορισμός Υπηρεσιακού Γραμματέα του Υπουργείου Υγείας» (Υ.Ο.Δ.Δ 196).</w:t>
      </w:r>
    </w:p>
    <w:p>
      <w:pPr>
        <w:pStyle w:val="PreambelText"/>
        <w:spacing w:before="240" w:after="240"/>
        <w:rPr>
          <w:lang w:val="el" w:eastAsia="el"/>
        </w:rPr>
      </w:pPr>
      <w:r>
        <w:rPr>
          <w:lang w:val="el" w:eastAsia="el"/>
        </w:rPr>
        <w:t>9. Το άρθρο 10 του ν. 4647/2019 «Κατεπείγουσες ρυθμίσεις αρμοδιότητας των Υπουργείων Υγείας, Εσωτερικών, Εργασίας και Κοινωνικών Υποθέσεων και άλλες διατάξεις» (Α΄ 204).</w:t>
      </w:r>
    </w:p>
    <w:p>
      <w:pPr>
        <w:pStyle w:val="PreambelText"/>
        <w:spacing w:before="240" w:after="240"/>
        <w:rPr>
          <w:lang w:val="el" w:eastAsia="el"/>
        </w:rPr>
      </w:pPr>
      <w:r>
        <w:rPr>
          <w:lang w:val="el" w:eastAsia="el"/>
        </w:rPr>
        <w:t>10. Το άρθρο 100 του ν. 4172/2013 «Φορολογία εισοδήματος, επείγοντα μέτρα εφαρμογής του ν. 4046/2012, του ν. 4093/2012 και του ν. 4127/2013 και άλλες διατάξεις» (Α΄ 167).</w:t>
      </w:r>
    </w:p>
    <w:p>
      <w:pPr>
        <w:pStyle w:val="PreambelText"/>
        <w:spacing w:before="240" w:after="240"/>
        <w:rPr>
          <w:lang w:val="el" w:eastAsia="el"/>
        </w:rPr>
      </w:pPr>
      <w:r>
        <w:rPr>
          <w:lang w:val="el" w:eastAsia="el"/>
        </w:rPr>
        <w:t>11. Την υπό στοιχεία Β2β/Γ.Π.οικ. 66319/19-10-2020 απόφαση του Υπουργού Υγείας «Ρύθμιση οφειλών από rebate και clawback».</w:t>
      </w:r>
    </w:p>
    <w:p>
      <w:pPr>
        <w:pStyle w:val="PreambelText"/>
        <w:spacing w:before="240" w:after="240"/>
        <w:rPr>
          <w:lang w:val="el" w:eastAsia="el"/>
        </w:rPr>
      </w:pPr>
      <w:r>
        <w:rPr>
          <w:lang w:val="el" w:eastAsia="el"/>
        </w:rPr>
        <w:t>12. Το υπό στοιχεία ΔΑ1/Φ1/521/29414/09-11-2021 έγγραφο του ΕΟΠΥΥ με το οποίο μας διαβιβάστηκε η υπ’ αρ. συν. 763/798/05-11-2021 απόφαση του ΔΣ του ΕΟΠΥΥ.</w:t>
      </w:r>
    </w:p>
    <w:p>
      <w:pPr>
        <w:pStyle w:val="PreambelText"/>
        <w:spacing w:before="240" w:after="240"/>
        <w:rPr>
          <w:lang w:val="el" w:eastAsia="el"/>
        </w:rPr>
      </w:pPr>
      <w:r>
        <w:rPr>
          <w:lang w:val="el" w:eastAsia="el"/>
        </w:rPr>
        <w:t>13. Την ανάγκη καθορισμού των δόσεων, της διαδικασίας είσπραξης καθώς και κάθε αναγκαίας διαδικαστικής λεπτομέρειας για την υπαγωγή στην εν λόγω ρύθμιση.</w:t>
      </w:r>
    </w:p>
    <w:p>
      <w:pPr>
        <w:pStyle w:val="PreambelText"/>
        <w:spacing w:before="240" w:after="240"/>
        <w:rPr>
          <w:lang w:val="el" w:eastAsia="el"/>
        </w:rPr>
      </w:pPr>
      <w:r>
        <w:rPr>
          <w:lang w:val="el" w:eastAsia="el"/>
        </w:rPr>
        <w:t>14. Το γεγονός ότι από την παρούσα δεν προκαλείται δαπάνη σε βάρος του προϋπολογισμού του ΕΟΠΥΥ και του τακτικού προϋπολογισμού του Υπουργείου Υγείας,</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ΕΝΤΑΞΗ ΣΤΗ ΡΥΘΜΙΣΗ</w:t>
      </w:r>
    </w:p>
    <w:p>
      <w:pPr>
        <w:pStyle w:val="MainText"/>
        <w:spacing w:before="120" w:after="0"/>
        <w:rPr>
          <w:lang w:val="el" w:eastAsia="el"/>
        </w:rPr>
      </w:pPr>
      <w:r>
        <w:rPr>
          <w:b/>
          <w:bCs/>
          <w:lang w:val="el" w:eastAsia="el"/>
        </w:rPr>
        <w:t>1.</w:t>
      </w:r>
      <w:r>
        <w:rPr>
          <w:lang w:val="el" w:eastAsia="el"/>
        </w:rPr>
        <w:t xml:space="preserve"> Οι ανείσπρακτες οφειλές των παρόχων/προμηθευτών υπηρεσιών υγείας για το έτος 2020 εντάσσονται σε ρύθμιση σε δόσεις σύμφωνα με τα οριζόμενα στη παρούσα απόφαση.</w:t>
      </w:r>
    </w:p>
    <w:p>
      <w:pPr>
        <w:pStyle w:val="MainText"/>
        <w:spacing w:before="120" w:after="0"/>
        <w:rPr>
          <w:lang w:val="el" w:eastAsia="el"/>
        </w:rPr>
      </w:pPr>
      <w:r>
        <w:rPr>
          <w:b/>
          <w:bCs/>
          <w:lang w:val="el" w:eastAsia="el"/>
        </w:rPr>
        <w:t>2.</w:t>
      </w:r>
      <w:r>
        <w:rPr>
          <w:lang w:val="el" w:eastAsia="el"/>
        </w:rPr>
        <w:t xml:space="preserve"> Ως ανείσπρακτη οφειλή ορίζεται το ποσό εκείνο που υφίσταται κατά το χρόνο γνωστοποίησης του ύψους και του πλήθους των δόσεων στον πάροχο προμηθευτή υπηρεσιών υγείας από τον ΕΟΠΥΥ.</w:t>
      </w:r>
    </w:p>
    <w:p>
      <w:pPr>
        <w:spacing w:before="240" w:after="240"/>
        <w:rPr>
          <w:lang w:val="el" w:eastAsia="el"/>
        </w:rPr>
      </w:pPr>
      <w:r>
        <w:rPr>
          <w:lang w:val="el" w:eastAsia="el"/>
        </w:rPr>
        <w:t>Για την ένταξη του παρόχου-προμηθευτή υπηρεσιών υγείας στη ρύθμιση, απαιτείται σχετική αίτηση η οποία υποβάλλεται ηλεκτρονικά μέσω ηλεκτρονικής πλατφόρμας του ΕΟΠΥΥ. Σε περιπτώσεις στις οποίες δεν είναι δυνατή η ηλεκτρονική υποβολή της αίτησης, ο ενδιαφερόμενος δύναται να υποβάλλει τη σχετική αίτηση στην Περιφερειακή Διεύθυνση (ΠΕ.ΔΙ) στην χωρική αρμοδιότητα της οποίας ανήκει. Στην εν λόγω αίτηση πρέπει να αναφέρεται ότι ο πάροχος-προμηθευτής υπηρεσιών υγείας επιθυμεί την ένταξη του στη ρύθμιση οφειλών από clawback έτους 2020 σύμφωνα με τα οριζόμενα στο άρθρο 10 του ν. 4647/2019 (Α΄ 204).</w:t>
      </w:r>
    </w:p>
    <w:p>
      <w:pPr>
        <w:spacing w:before="240" w:after="240"/>
        <w:rPr>
          <w:lang w:val="el" w:eastAsia="el"/>
        </w:rPr>
      </w:pPr>
      <w:r>
        <w:rPr>
          <w:lang w:val="el" w:eastAsia="el"/>
        </w:rPr>
        <w:t>Ως καταληκτική ημερομηνία υποβολής της αίτησης ορίζεται η 10η Φεβρουαρίου 2022. Για τους παρόχους υγείας που δεν εντάχθηκαν στην ρύθμιση οφειλών έως τις 10/2/2022, δίδεται η δυνατότητα υποβολής αίτησης ένταξης με καταληκτική ημερομηνία την δέκατη πέμπτη (15η) ημέρα από την δημοσίευση της παρούσας αποφάσεως σε ΦΕΚ.</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3.</w:t>
      </w:r>
      <w:r>
        <w:rPr>
          <w:lang w:val="el" w:eastAsia="el"/>
        </w:rPr>
        <w:t xml:space="preserve"> Σε περίπτωση που ο πάροχος δεν υποβάλλει αίτηση για υπαγωγή στην εν λόγω ρύθμιση το ποσό:</w:t>
      </w:r>
    </w:p>
    <w:p>
      <w:pPr>
        <w:spacing w:before="240" w:after="240"/>
        <w:rPr>
          <w:lang w:val="el" w:eastAsia="el"/>
        </w:rPr>
      </w:pPr>
      <w:r>
        <w:rPr>
          <w:lang w:val="el" w:eastAsia="el"/>
        </w:rPr>
        <w:t>α. Συμψηφίζεται εις ολόκληρον με οφειλές του ΕΟΠΥΥ, σε περίπτωση που ο υπόχρεος είναι συμβεβλημένος πάροχος με τον ΕΟΠΥΥ.</w:t>
      </w:r>
    </w:p>
    <w:p>
      <w:pPr>
        <w:spacing w:before="240" w:after="240"/>
        <w:rPr>
          <w:lang w:val="el" w:eastAsia="el"/>
        </w:rPr>
      </w:pPr>
      <w:r>
        <w:rPr>
          <w:lang w:val="el" w:eastAsia="el"/>
        </w:rPr>
        <w:t>β. Καταβάλλεται εις ολόκληρον σε μια δόση, εντός 30 ημερολογιακών ημερών σε περίπτωση που ο υπόχρεος είναι μη συμβεβλημένος πάροχος/προμηθευτής με τον ΕΟΠΥΥ. Σε περίπτωση άπρακτης παρέλευσης της ανωτέρω προθεσμίας το ποσό αναζητείται μέσω ΚΕΔΕ.</w:t>
      </w:r>
    </w:p>
    <w:p>
      <w:pPr>
        <w:pStyle w:val="MainText"/>
        <w:spacing w:before="120" w:after="0"/>
        <w:rPr>
          <w:lang w:val="el" w:eastAsia="el"/>
        </w:rPr>
      </w:pPr>
      <w:r>
        <w:rPr>
          <w:b/>
          <w:bCs/>
          <w:lang w:val="el" w:eastAsia="el"/>
        </w:rPr>
        <w:t>4.</w:t>
      </w:r>
      <w:r>
        <w:rPr>
          <w:lang w:val="el" w:eastAsia="el"/>
        </w:rPr>
        <w:t xml:space="preserve"> Σε περίπτωση που υφίσταται ποσό οφειλής του παρόχου προς τον Οργανισμό σε αναστολή είσπραξης (με δικαστική απόφαση) κατά την καταληκτική ημερομηνία υποβολής της αίτησης, το ποσό αυτό δεν εντάσσεται στη ρύθμιση. Με την ολοκλήρωση των ένδικων μέσων, λόγω των οποίων προήλθε και η αναστολή είσπραξης, το ποσό οφειλής που θα προκύψει εντάσσεται στην παρούσα ρύθμιση με καταληκτική ημερομηνία είσπραξης της τελευταίας μηνιαίας δόσης την 31/1/2031.</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ΚΑΤΑΒΟΛΗ ΔΟΣΕΩΝ</w:t>
      </w:r>
    </w:p>
    <w:p>
      <w:pPr>
        <w:pStyle w:val="MainText"/>
        <w:spacing w:before="120" w:after="0"/>
        <w:rPr>
          <w:lang w:val="el" w:eastAsia="el"/>
        </w:rPr>
      </w:pPr>
      <w:r>
        <w:rPr>
          <w:b/>
          <w:bCs/>
          <w:lang w:val="el" w:eastAsia="el"/>
        </w:rPr>
        <w:t>1.</w:t>
      </w:r>
      <w:r>
        <w:rPr>
          <w:lang w:val="el" w:eastAsia="el"/>
        </w:rPr>
        <w:t xml:space="preserve"> Η καταβολή των δόσεων διενεργείται μηνιαία (α) με συμψηφισμό, στην περίπτωση συμβεβλημένων με τον Ε.Ο.Π.Υ.Υ. παρόχων, ή (β) με ηλεκτρονική καταβολή με τη χρήση μοναδικού κωδικού πληρωμής, στην περίπτωση που, για οποιονδήποτε λόγο, ο πάροχος/προμηθευτής υπηρεσιών υγείας δεν είναι συμβεβλημένος με τον Οργανισμό κατά τον κρίσιμο χρόνο καταβολής της δόσης.</w:t>
      </w:r>
    </w:p>
    <w:p>
      <w:pPr>
        <w:pStyle w:val="MainText"/>
        <w:spacing w:before="120" w:after="0"/>
        <w:rPr>
          <w:lang w:val="el" w:eastAsia="el"/>
        </w:rPr>
      </w:pPr>
      <w:r>
        <w:rPr>
          <w:b/>
          <w:bCs/>
          <w:lang w:val="el" w:eastAsia="el"/>
        </w:rPr>
        <w:t>2.</w:t>
      </w:r>
      <w:r>
        <w:rPr>
          <w:lang w:val="el" w:eastAsia="el"/>
        </w:rPr>
        <w:t xml:space="preserve"> Η πρώτη δόση της ρύθμισης είναι καταβλητέα μέσα σε είκοσι (20) ημερολογιακές ημέρες από την γνωστοποίηση του ύψους της υπολειπόμενης οφειλής, μέσω του ηλεκτρονικού συστήματος e-dapy του Ε.Ο.Π.Υ.Υ. Οι επόμενες δόσεις καταβάλλονται μέχρι την τελευταία εργάσιμη ημέρα εκάστου επόμενου μηνός.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ΑΡΙΘΜΟΣ ΔΟΣΕΩΝ</w:t>
      </w:r>
    </w:p>
    <w:p>
      <w:pPr>
        <w:pStyle w:val="MainText"/>
        <w:spacing w:before="120" w:after="0"/>
        <w:rPr>
          <w:lang w:val="el" w:eastAsia="el"/>
        </w:rPr>
      </w:pPr>
      <w:r>
        <w:rPr>
          <w:b/>
          <w:bCs/>
          <w:lang w:val="el" w:eastAsia="el"/>
        </w:rPr>
        <w:t>1.</w:t>
      </w:r>
      <w:r>
        <w:rPr>
          <w:lang w:val="el" w:eastAsia="el"/>
        </w:rPr>
        <w:t xml:space="preserve"> Το πλήθος των δόσεων για τις ανείσπρακτες οφειλές των παρόχων/προμηθευτών υπηρεσιών υγείας που θα ενταχθούν στην παρούσα ρύθμιση ανέρχεται σε 120 δόσεις.</w:t>
      </w:r>
    </w:p>
    <w:p>
      <w:pPr>
        <w:pStyle w:val="MainText"/>
        <w:spacing w:before="120" w:after="0"/>
        <w:rPr>
          <w:lang w:val="el" w:eastAsia="el"/>
        </w:rPr>
      </w:pPr>
      <w:r>
        <w:rPr>
          <w:b/>
          <w:bCs/>
          <w:lang w:val="el" w:eastAsia="el"/>
        </w:rPr>
        <w:t>2.</w:t>
      </w:r>
      <w:r>
        <w:rPr>
          <w:lang w:val="el" w:eastAsia="el"/>
        </w:rPr>
        <w:t xml:space="preserve"> Το ελάχιστο ποσό της μηνιαίας δόσης ορίζεται σε € 50. Σε περίπτωση που προκύπτει μηνιαία δόση μικρότερη του ποσού αυτού το πλήθος των δόσεων αναπροσαρμόζεται ανάλογα.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ΑΠΑΛΛΑΓΕΣ ΑΠΟ ΠΡΟΣΑΥΞΗΣΕΙΣ, ΠΡΟΣΘΕΤΟΥΣ ΦΟΡΟΥΣ, ΤΟΚΟΥΣ ΚΑΙ ΠΡΟΣΤΙΜΑ</w:t>
      </w:r>
    </w:p>
    <w:p>
      <w:pPr>
        <w:pStyle w:val="MainText"/>
        <w:spacing w:before="120" w:after="0"/>
        <w:rPr>
          <w:lang w:val="el" w:eastAsia="el"/>
        </w:rPr>
      </w:pPr>
      <w:r>
        <w:rPr>
          <w:b/>
          <w:bCs/>
          <w:lang w:val="el" w:eastAsia="el"/>
        </w:rPr>
        <w:t>1.</w:t>
      </w:r>
      <w:r>
        <w:rPr>
          <w:lang w:val="el" w:eastAsia="el"/>
        </w:rPr>
        <w:t xml:space="preserve"> Οι οφειλές που εντάσσονται στο παρόν πρόγραμμα απαλλάσσονται από προσαυξήσεις και τους τόκους εκπρόθεσμης καταβολής που τις επιβαρύνουν. Ο οφειλέτης τυγχάνει κατ’ αναλογική εφαρμογή, των ευεργετημάτων του άρθρου 11 του ν. 4321/2015, μετά την εκούσια καταβολή της πρώτης δόσης. Αν ο οφειλέτης απολέσει το ευεργέτημα της ρύθμισης, δυνάμει του άρθρου 5 της παρούσας, τα μέτρα που έχουν ανασταλεί συνεχίζονται.</w:t>
      </w:r>
    </w:p>
    <w:p>
      <w:pPr>
        <w:pStyle w:val="MainText"/>
        <w:spacing w:before="120" w:after="0"/>
        <w:rPr>
          <w:lang w:val="el" w:eastAsia="el"/>
        </w:rPr>
      </w:pPr>
      <w:r>
        <w:rPr>
          <w:b/>
          <w:bCs/>
          <w:lang w:val="el" w:eastAsia="el"/>
        </w:rPr>
        <w:t>2.</w:t>
      </w:r>
      <w:r>
        <w:rPr>
          <w:lang w:val="el" w:eastAsia="el"/>
        </w:rPr>
        <w:t xml:space="preserve"> Η καταβολή των δόσεων της ρύθμισης δύναται να πραγματοποιείται μέσω εντολής αυτόματης χρέωσης λογαριασμού με την υποβολή σχετικής αίτησης του οφειλέτη σε φορέα είσπραξης. Οι υπαχθείσες στη ρύθμιση οφειλές δεν επιβαρύνονται εφεξής με προσαυξήσεις ή τόκους εκπρόθεσμης καταβολής.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ΑΠΩΛΕΙΑ ΤΗΣ ΡΥΘΜΙΣΗΣ</w:t>
      </w:r>
    </w:p>
    <w:p>
      <w:pPr>
        <w:spacing w:before="240" w:after="240"/>
        <w:rPr>
          <w:lang w:val="el" w:eastAsia="el"/>
        </w:rPr>
      </w:pPr>
      <w:r>
        <w:rPr>
          <w:lang w:val="el" w:eastAsia="el"/>
        </w:rPr>
        <w:t>Σε περίπτωση μη έγκαιρης καταβολής, έστω και μίας εκ των ως άνω δόσεων, καθώς και της οποιασδήποτε εκπρόθεσμης καταβολής τρέχουσας υποχρέωσης προς τον ΕΟΠΥΥ, κατά την ημερομηνία δημοσίευσης της παρούσας απόφασης στην Εφημερίδα της Κυβερνήσεως και εφεξής, παύει αυτόματα η ισχύς της παρούσας ρύθμισης. Στην περίπτωση αυτή, οι τυχόν ανεξόφλητες οφειλές καθίστανται ληξιπρόθεσμες και βεβαιώνονται σύμφωνα με τις ισχύουσες διατάξεις περί δημοσίων εσόδων.</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ΤΕΛΙΚΕΣ ΔΙΑΤΑΞΕΙΣ</w:t>
      </w:r>
    </w:p>
    <w:p>
      <w:pPr>
        <w:spacing w:before="240" w:after="240"/>
        <w:rPr>
          <w:lang w:val="el" w:eastAsia="el"/>
        </w:rPr>
      </w:pPr>
      <w:r>
        <w:rPr>
          <w:lang w:val="el" w:eastAsia="el"/>
        </w:rPr>
        <w:t>Σε έκτακτες περιπτώσεις που για οποιαδήποτε αιτία δεν εμφανίζονται στο πληροφοριακό σύστημα οι πληρωμές που έχουν διενεργηθεί στους φορείς είσπραξης, ο αιτών οφείλει να προσκομίζει στην αρμόδια Διεύθυνση Οικονομικών του Ε.Ο.Π.Υ.Υ. το σχετικό παραστατικό πληρωμής.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18 Νοεμβρίου 2021</w:t>
      </w:r>
    </w:p>
    <w:p>
      <w:pPr>
        <w:spacing w:before="240" w:after="240"/>
        <w:rPr>
          <w:lang w:val="el" w:eastAsia="el"/>
        </w:rPr>
      </w:pPr>
      <w:r>
        <w:rPr>
          <w:lang w:val="el" w:eastAsia="el"/>
        </w:rPr>
        <w:t>Ο Υπουργός</w:t>
      </w:r>
    </w:p>
    <w:p>
      <w:pPr>
        <w:spacing w:before="240" w:after="240"/>
        <w:rPr>
          <w:lang w:val="el" w:eastAsia="el"/>
        </w:rPr>
      </w:pPr>
      <w:r>
        <w:rPr>
          <w:lang w:val="el" w:eastAsia="el"/>
        </w:rPr>
        <w:t>ΑΘΑΝΑΣΙΟΣ ΠΛΕΥΡΗΣ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Β2β/οικ. 6316/2022 08.02.2022; Τροποποίηση A. Β2β/οικ.33794/2023 22.06.2023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