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ΓΠ.οικ. 75789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Ρυθμίσεις για την απασχόληση φαρμακοποιών στα φαρμακεία των ιδιωτικών κλινικών.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ΥΠΟΥΡΓΟΣ ΥΓΕΙΑΣ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Τον ν. 4600/2019 «Εκσυγχρονισμός και Αναμόρφωση Θεσμικού Πλαισίου Ιδιωτικών Κλινικών, Σύσταση Εθνικού Οργανισμού Δημόσιας Υγείας, Σύσταση Εθνικού Ινστιτούτου Νεοπλασιών και λοιπές διατάξεις» (Α’ 43) και ιδίως το Παράρτημα Δ’, παρ. Ε, σημείο 6 αυτού.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Τον ν. 4622/2019 «Επιτελικό Κράτος: οργάνωση, λειτουργία και διαφάνεια της Κυβέρνησης, των κυβερνητικών οργάνων και της κεντρικής δημόσιας διοίκησης» (Α’ 133).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Τον ν. 4548/2018 «Αναμόρφωση του δικαίου των ανωνύμων εταιρειών» (Α’ 104) και ιδίως τα άρθρα 99101 αυτού.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Τον ν. 4072/2012 «Βελτίωση επιχειρηματικού περιβάλλοντος - Νέα εταιρική μορφή - Σήματα - Μεσίτες Ακινήτων - Ρύθμιση θεμάτων ναυτιλίας, λιμένων και αλιείας και άλλες διατάξεις» και ιδίως τα άρθρα 43-120, 249-270, 271-282 αυτού.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Τον ν. 3190/1955 «Περί εταιρειών περιορισμένης ευθύνης» (Α’ 91).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Το π.δ. 121/2017 «Οργανισμός του Υπουργείου Υγείας» (Α’ 148).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Το π.δ. 68/2021 «Διορισμός Υπουργών, Αναπληρώτριας Υπουργού και Υφυπουργών» (Α’ 155).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Την υπό στοιχεία B2α/οικ 71289/12-11-2021 εισήγηση του Προϊσταμένου της Γενικής Διεύθυνσης Οικονομικών Υπηρεσιών Υπουργείου Υγείας, όπως αυτή προβλέπεται στις διατάξεις της παρ. 5 του άρθρου 24 του ν. 4270/2014 (Α’ 143), σύμφωνα με την οποία από τις διατάξεις της παρούσας απόφασης δεν προκαλείται δαπάνη σε βάρος του κρατικού προϋπολογισμού,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Με απόφαση του οργάνου διοίκησης της εκάστοτε ιδιωτικής κλινικής δύναται να αποφασίζεται η σύναψη άμισθης σχέσης εντολής με μέλος αυτού, το οποίο διαθέτει και την ιδιότητα του φαρμακοποιού σύμφωνα με τα οριζόμενα στον νόμο, προκειμένου να λειτουργεί το φαρμακείο της κλινικής. Η απόφαση λαμβάνεται έπειτα από σχετικό έγγραφο αίτημα του ενδιαφερομένου.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Στην απόφαση του οργάνου της διοίκησης θα πρέπει να μνημονεύεται ότι το πρόσωπο αυτό κρίνεται επαρκές για την πλήρη λειτουργία του φαρμακείου, χωρίς να απαιτείται η με οποιονδήποτε τρόπο συμμετοχή δεύτερου φαρμακοποιού.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Σε περίπτωση που η διοίκηση ασκείται από ένα μόνο πρόσωπο ή είναι για οποιονδήποτε λόγο αδύνατη η σύγκληση του οργάνου, η εν λόγω απόφαση λαμβάνεται από τους κατόχους μετοχών ή μετοχικών μεριδίων κεφαλαιουχικών εταιρειών οποιαδήποτε μορφής της ιδιωτικής κλινικής.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Στη λήψη της απόφασης του οργάνου της διοίκησης ή των κατόχων μετοχών ή μετοχικών μεριδίων κεφαλαιουχικών εταιρειών οποιαδήποτε μορφής κατά περίπτωση, δεν μετέχει και δεν ψηφίζει ο ενδιαφερόμενος. Σε αντίθετη περίπτωση η απόφαση καθίσταται άκυρη.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Το καταστατικό της ιδιωτικής κλινικής δύναται να προβλέπει αυξημένη απαρτία και πλειοψηφία για τη λήψη της ως άνω απόφασης.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6 Δεκεμβρίου 2021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Υπουργός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ΑΘΑΝΑΣΙΟΣ ΠΛΕΥΡΗΣ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