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31292 ΕΞ 2</w:t>
      </w:r>
      <w:r>
        <w:rPr>
          <w:lang w:val="el" w:eastAsia="el"/>
        </w:rPr>
        <w:t xml:space="preserve">021 </w:t>
      </w:r>
    </w:p>
    <w:p>
      <w:pPr>
        <w:spacing w:before="240" w:after="240"/>
        <w:rPr>
          <w:lang w:val="el" w:eastAsia="el"/>
        </w:rPr>
      </w:pPr>
      <w:r>
        <w:rPr>
          <w:b/>
          <w:bCs/>
          <w:lang w:val="el" w:eastAsia="el"/>
        </w:rPr>
        <w:t>Τροποποίηση της υπ’ αρ. 2/53983/0026/ 27-06-2019 κοινής υπουργικής απόφασης «Ηλεκτρονική διακίνηση δικαιολογητικών δαπανών» (Β’ 2726).</w:t>
      </w:r>
    </w:p>
    <w:p>
      <w:pPr>
        <w:spacing w:before="240" w:after="240"/>
        <w:rPr>
          <w:lang w:val="el" w:eastAsia="el"/>
        </w:rPr>
      </w:pPr>
      <w:r>
        <w:rPr>
          <w:b/>
          <w:bCs/>
          <w:lang w:val="el" w:eastAsia="el"/>
        </w:rPr>
        <w:t>ΟΙ ΥΠΟΥΡΓΟΙ ΟΙΚΟΝΟΜΙΚΩΝ - ΔΙΚΑΙΟΣΥΝΗΣ - ΕΣΩΤΕΡΙΚΩΝ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του τέταρτου εδαφίου του άρθρου 69ΣΤ,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spacing w:before="240" w:after="240"/>
        <w:rPr>
          <w:lang w:val="el" w:eastAsia="el"/>
        </w:rPr>
      </w:pPr>
      <w:r>
        <w:rPr>
          <w:lang w:val="el" w:eastAsia="el"/>
        </w:rPr>
        <w:t>ii. της παρ. 1 του άρθρου 26 και της παρ. 1 του άρθρου 69Γ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(Α’ 240), γ) του άρθρου 90 του Κώδικα νομοθεσίας για την κυβέρνηση και τα κυβερνητικά όργανα (π.δ. 63/2005 - (Α’ 98),</w:t>
      </w:r>
    </w:p>
    <w:p>
      <w:pPr>
        <w:pStyle w:val="StructureList1"/>
        <w:spacing w:before="120" w:after="0"/>
        <w:rPr>
          <w:lang w:val="el" w:eastAsia="el"/>
        </w:rPr>
      </w:pPr>
      <w:r>
        <w:rPr>
          <w:lang w:val="el" w:eastAsia="el"/>
        </w:rPr>
        <w:t>δ)</w:t>
      </w:r>
      <w:r>
        <w:rPr>
          <w:lang w:val="en" w:eastAsia="en"/>
        </w:rPr>
        <w:tab/>
      </w:r>
      <w:r>
        <w:rPr>
          <w:lang w:val="el" w:eastAsia="el"/>
        </w:rPr>
        <w:t>των άρθρων 38 έως και 40 του ν. 3979/2011 «Για την ηλεκτρονική διακυβέρνηση και λοιπές διατάξεις» (Α’ 138),</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28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στ)</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ν. 4727/2020 «Ψηφιακή Διακυβέρνηση (ενσωμάτωση στην Ελληνική Νομοθεσία της Οδηγίας (ΕΕ) 2016/ 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η)</w:t>
      </w:r>
      <w:r>
        <w:rPr>
          <w:lang w:val="en" w:eastAsia="en"/>
        </w:rPr>
        <w:tab/>
      </w:r>
      <w:r>
        <w:rPr>
          <w:lang w:val="el" w:eastAsia="el"/>
        </w:rPr>
        <w:t>του π.δ. 25/2014 «Ηλεκτρονικό αρχείο και ψηφιοποίηση εγγράφων» (Α’ 44),</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4. Το γεγονός ότι από την απόφαση αυτή δεν προκαλείται πρόσθετη δαπάνη σε βάρος του κρατικού προϋπολογισμού.</w:t>
      </w:r>
    </w:p>
    <w:p>
      <w:pPr>
        <w:spacing w:before="240" w:after="240"/>
        <w:rPr>
          <w:lang w:val="el" w:eastAsia="el"/>
        </w:rPr>
      </w:pPr>
      <w:r>
        <w:rPr>
          <w:lang w:val="el" w:eastAsia="el"/>
        </w:rPr>
        <w:t>5.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spacing w:before="240" w:after="240"/>
        <w:rPr>
          <w:lang w:val="el" w:eastAsia="el"/>
        </w:rPr>
      </w:pPr>
      <w:r>
        <w:rPr>
          <w:lang w:val="el" w:eastAsia="el"/>
        </w:rPr>
        <w:t xml:space="preserve">6. Την ανάγκη τροποποίησης της υπ’ αρ. 2/53983/0026/ 27-06-2019 (Β’ 2726) κοινής απόφασης των Υπουργών Δικαιοσύνης, Διαφάνειας και Ανθρωπίνων Δικαιωμάτων, Οικονομικών και Διοικητικής Ανασυγκρότησης όπως τροποποιήθηκε με την υπ’ αρ. </w:t>
      </w:r>
    </w:p>
    <w:p>
      <w:pPr>
        <w:spacing w:before="240" w:after="240"/>
        <w:rPr>
          <w:lang w:val="el" w:eastAsia="el"/>
        </w:rPr>
      </w:pPr>
      <w:r>
        <w:rPr>
          <w:lang w:val="el" w:eastAsia="el"/>
        </w:rPr>
        <w:t>2/84997/0026/13.12.2019(Β’ 4565) όμοια απόφαση και την υπό στοιχεία 139756 ΕΞ 2020/ 08-12-2020 (Β’ 5497) κοινή απόφαση των Υπουργών Οικονομικών, Δικαιοσύνης, Εσωτερικών και Επικρατείας, προκειμένου να διενεργηθούν αναγκαίες προσαρμογές για την καλύτερη εφαρμογή της ηλεκτρονικής διακίνησης δικαιολογητικών, αποφασίζουμε:</w:t>
      </w:r>
    </w:p>
    <w:p>
      <w:pPr>
        <w:spacing w:before="240" w:after="240"/>
        <w:rPr>
          <w:lang w:val="el" w:eastAsia="el"/>
        </w:rPr>
      </w:pPr>
      <w:r>
        <w:rPr>
          <w:lang w:val="el" w:eastAsia="el"/>
        </w:rPr>
        <w:t>Α) Αντικαθίσταται η παρ. 2 του άρθρου 6 της υπ’ αρ. 2/53983/0026/27-06-2019 κοινής απόφασης των Υπουργών Οικονομικών, Δικαιοσύνης, Διαφάνειας και Ανθρωπίνων Δικαιωμάτων και Διοικητικής Ανασυγκρότησης κ«Ηλεκτρονική διακίνηση δικαιολογητικών δαπανών» (Β’ 2726) ως εξής:</w:t>
      </w:r>
    </w:p>
    <w:p>
      <w:pPr>
        <w:spacing w:before="240" w:after="240"/>
        <w:rPr>
          <w:lang w:val="el" w:eastAsia="el"/>
        </w:rPr>
      </w:pPr>
      <w:r>
        <w:rPr>
          <w:lang w:val="el" w:eastAsia="el"/>
        </w:rPr>
        <w:t>«2. Από 01-01-2021 στις διατάξεις της παρούσας υπάγονται όλοι οι φορείς της Κεντρικής Διοίκησης εκτός από:</w:t>
      </w:r>
    </w:p>
    <w:p>
      <w:pPr>
        <w:spacing w:before="240" w:after="240"/>
        <w:rPr>
          <w:lang w:val="el" w:eastAsia="el"/>
        </w:rPr>
      </w:pPr>
      <w:r>
        <w:rPr>
          <w:lang w:val="el" w:eastAsia="el"/>
        </w:rPr>
        <w:t>α) τις Περιφερειακές Υπηρεσίες του Υπουργείου Παιδείας και Θρησκευμάτων και της ΑΑΔΕ που αποτελούν Ειδικούς Φορείς στον προϋπολογισμό τους, τις ΔΥΕΕ του Υπουργείου Οικονομικών στις Νομαρχίες και στους Νομούς, τους Δευτερεύοντες Διατάκτες του Υπουργείου Δικαιοσύνης, την Προεδρία της Δημοκρατίας και το Υπουργείο Εθνικής Άμυνας, οι οποίοι υπάγονται στις διατάξεις της παρούσας από 01-01-2022,</w:t>
      </w:r>
    </w:p>
    <w:p>
      <w:pPr>
        <w:spacing w:before="240" w:after="240"/>
        <w:rPr>
          <w:lang w:val="el" w:eastAsia="el"/>
        </w:rPr>
      </w:pPr>
      <w:r>
        <w:rPr>
          <w:lang w:val="el" w:eastAsia="el"/>
        </w:rPr>
        <w:t>β) τις υπηρεσίες του εξωτερικού όλων των φορέων της Κεντρικής Διοίκησης μέχρι την ολοκλήρωση των απαραίτητων τεχνικών προσαρμογών».</w:t>
      </w:r>
    </w:p>
    <w:p>
      <w:pPr>
        <w:spacing w:before="240" w:after="240"/>
        <w:rPr>
          <w:lang w:val="el" w:eastAsia="el"/>
        </w:rPr>
      </w:pPr>
      <w:r>
        <w:rPr>
          <w:lang w:val="el" w:eastAsia="el"/>
        </w:rPr>
        <w:t>Β) Στο άρθρο 6 της ανωτέρω κοινής υπουργικής απόφασης προστίθενται οι εξής παράγραφοι:</w:t>
      </w:r>
    </w:p>
    <w:p>
      <w:pPr>
        <w:spacing w:before="240" w:after="240"/>
        <w:rPr>
          <w:lang w:val="el" w:eastAsia="el"/>
        </w:rPr>
      </w:pPr>
      <w:r>
        <w:rPr>
          <w:lang w:val="el" w:eastAsia="el"/>
        </w:rPr>
        <w:t>«3. Δικαιολογητικά δαπανών αποκατάστασης Παγίων Προκαταβολών των Υπουργείων Προστασίας του Πολίτη και Ναυτιλίας και Νησιωτικής Πολιτικής διακινούνται μέχρι την 31.12.2021 εκτός της ηλεκτρονικής διακίνησης δικαιολογητικών της παρούσας κοινής υπουργικής απόφασης, υπό την προϋπόθεση έκδοσης των σχετικών χρηματικών ενταλμάτων από τις οικονομικές υπηρεσίες των ανωτέρω υπουργείων.</w:t>
      </w:r>
    </w:p>
    <w:p>
      <w:pPr>
        <w:spacing w:before="240" w:after="240"/>
        <w:rPr>
          <w:lang w:val="el" w:eastAsia="el"/>
        </w:rPr>
      </w:pPr>
      <w:r>
        <w:rPr>
          <w:lang w:val="el" w:eastAsia="el"/>
        </w:rPr>
        <w:t>4. Δικαιολογητικά για την τακτοποίηση των πληρωμών που διενεργήθηκαν με Χρηματικά Εντάλματα Προπληρωμής, τα οποία εκδόθηκαν μέχρι την 31.12.2020 διακινούνται μέχρι την 31.12.2021 εκτός της ηλεκτρονικής διακίνησης δικαιολογητικών της παρούσας κοινής υπουργικής απόφασης.</w:t>
      </w:r>
    </w:p>
    <w:p>
      <w:pPr>
        <w:spacing w:before="240" w:after="240"/>
        <w:rPr>
          <w:lang w:val="el" w:eastAsia="el"/>
        </w:rPr>
      </w:pPr>
      <w:r>
        <w:rPr>
          <w:lang w:val="el" w:eastAsia="el"/>
        </w:rPr>
        <w:t>5. Τα δικαιολογητικά των δαπανών που ανάγονται στις καταπτώσεις των εγγυήσεων του Ελληνικού Δημοσίου προς τις Τράπεζες και τους εξομοιούμενους με αυτές φορείς, διακινούνται έως την 31.12.2021 εκτός της ηλεκτρονικής διακίνησης δικαιολογητικών της παρούσας κοινής υπουργικής απόφασης.</w:t>
      </w:r>
    </w:p>
    <w:p>
      <w:pPr>
        <w:spacing w:before="240" w:after="240"/>
        <w:rPr>
          <w:lang w:val="el" w:eastAsia="el"/>
        </w:rPr>
      </w:pPr>
      <w:r>
        <w:rPr>
          <w:lang w:val="el" w:eastAsia="el"/>
        </w:rPr>
        <w:t>6. Όπου κατά τα ανωτέρω προβλέπεται η εφαρμογή της Ηλεκτρονικής Διακίνησης Δικαιολογητικών, λαμβανομένων υπόψη των ιδιαζουσών συνθηκών εργασίας λόγω πανδημίας covid-19 που εμποδίζουν την άμεση εφαρμογή της, δύναται έως 31-12-2021 η διακίνηση δικαιολογητικών να πραγματοποιείται εκτός αυτής. Στις περιπτώσεις αυτές οι αρμοδιότητες των παρ. 4 και 5 του άρθρου 24, καθώς και των άρθρων 26, 66 και 69Γ του ν. 4270/2014 εξακολουθούν να ασκούνται από τις οικονομικές υπηρεσίες των φορέων κεντρικής διοίκησης, οι οποίες ορίζουν ενιαίο τρόπο αποστολής των δικαιολογητικών για κάθε μία από τις αποστέλλουσες υπηρεσίες του οικείου φορέα. Από τις διατάξεις αυτής της παραγράφου εξαιρούνται οι δαπάνες των υπηρεσιών της παρ. 1 του παρόντος άρθρου 6».</w:t>
      </w:r>
    </w:p>
    <w:p>
      <w:pPr>
        <w:spacing w:before="240" w:after="240"/>
        <w:rPr>
          <w:lang w:val="el" w:eastAsia="el"/>
        </w:rPr>
      </w:pPr>
      <w:r>
        <w:rPr>
          <w:lang w:val="el" w:eastAsia="el"/>
        </w:rPr>
        <w:t>Η ισχύς της παρούσας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