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157624/9.12.2021</w:t>
      </w:r>
    </w:p>
    <w:p>
      <w:pPr>
        <w:pStyle w:val="Title"/>
        <w:spacing w:before="120" w:after="360"/>
        <w:rPr>
          <w:lang w:val="el" w:eastAsia="el"/>
        </w:rPr>
      </w:pPr>
      <w:r>
        <w:rPr>
          <w:lang w:val="el" w:eastAsia="el"/>
        </w:rPr>
        <w:t>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w:t>
      </w:r>
    </w:p>
    <w:p>
      <w:pPr>
        <w:pStyle w:val="Title"/>
        <w:spacing w:before="120" w:after="360"/>
        <w:rPr>
          <w:lang w:val="el" w:eastAsia="el"/>
        </w:rPr>
      </w:pPr>
      <w:r>
        <w:rPr>
          <w:b/>
          <w:bCs/>
          <w:lang w:val="el" w:eastAsia="el"/>
        </w:rPr>
        <w:t>Αριθμ. 157624/2021</w:t>
      </w:r>
    </w:p>
    <w:p>
      <w:pPr>
        <w:pStyle w:val="PreambelText"/>
        <w:spacing w:before="240" w:after="240"/>
        <w:rPr>
          <w:lang w:val="el" w:eastAsia="el"/>
        </w:rPr>
      </w:pPr>
      <w:r>
        <w:rPr>
          <w:lang w:val="el" w:eastAsia="el"/>
        </w:rPr>
        <w:t>(ΦΕΚ Β' 5709/09-12-2021)</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Τα άρθρα δωδέκατο και δέκατο τέταρτο της από 13.8.2021 Πράξης νομοθετικού Περιεχομένου (Α' 143), η οποία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 και ισχύει.</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άρθρο 5 του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Δ.Α.Ε.Φ.Κ.-Κ.Ε.13975/Α325/20.8.2021 κοινή απόφαση των Υπουργών Εσωτερικών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13.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14.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και τις υπό στοιχεία 110065 ΕΞ 2021/10.9.2021 (ΑΔΑ: 654ΩΗ-ΔΧ0) (Β' 4203) και 147036 ΕΞ 22-11-2021 (ΑΔΑ:Ψ9Ρ2Η-8ΨΙ) (Β' 5424) τροποποιήσεις της.</w:t>
      </w:r>
    </w:p>
    <w:p>
      <w:pPr>
        <w:pStyle w:val="PreambelText"/>
        <w:spacing w:before="240" w:after="240"/>
        <w:rPr>
          <w:lang w:val="el" w:eastAsia="el"/>
        </w:rPr>
      </w:pPr>
      <w:r>
        <w:rPr>
          <w:lang w:val="el" w:eastAsia="el"/>
        </w:rPr>
        <w:t>15. Την υπ' αρ. 91406/13.08.2021 (ΑΔΑ: 6ΑΙΕ46ΜΤΛΡ-ΑΤ9) απόφαση του Υφυπουργού Ανάπτυξης και Επενδύσεων.</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αριθ.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L369 της 24/12/2014 σελ. 37),και ιδίως τα άρθρα 7, 9, 12, 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του Κανονισμού (ΕΕ) 651/2014 του Κανονισμού (ΕΕ) 702/2014 και του Κανονισμού (ΕΕ) αριθ.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18. Τα υπ' αρ. 6434/26-11-2021 και 6478/29-11-2021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19. Το υπό στοιχεία 157080 ΕΞ 2021/8-12-2021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21. Την υπό στοιχεία 157074 ΕΞ 2021/8-12-2021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δαπάνης 1.330.400,00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1.115.900,00 ευρώ περίπου εμπίπτει στις διατάξεις του Κανονισμού (ΕΕ) αριθ. 651/2014, δαπάνη ύψους 210.020,00 ευρώ περίπου εμπίπτει στις διατάξεις του Κανονισμού (ΕΕ) αριθ. 702/2014 και δαπάνη ύψους 4.480,00 ευρώ στις διατάξεις του Κανονισμού (ΕΕ) αριθ. 1388/2014,</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οι οποίες έχουν οριοθετηθεί με την υπό στοιχεία Δ.Α.Ε.Φ.Κ.-Κ.Ε.13975/Α325/20.8.2021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των Κανονισμών (ΕΕ) αρ. 651/2014, 702/2014 και 1388/2014.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18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κοινής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 στο 35% του ποσού της εκτιμηθείσας ζημιάς.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651/2014,την παρ. 4 του άρθρου 30 του Κανονισμού (ΕΕ) 702/2014 και την παρ. 4 του άρθρου 44 του Κανονισμού (ΕΕ) 1388/2014.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702/2014 και του Κανονισμού (ΕΕ)1388/2014,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 68ΦΓΗ-ΧΟΨ) (Β' 2670) απόφασης του Υπουργού και του Υφυπουργού Οικονομικών στην αρμόδια Διεύθυνση της Γενικής Γραμματείας Οικονομικής Πολιτικής και των υπό στοιχεία 110065 ΕΞ 2021/10.9.2021 (ΑΔΑ: 654ΩΗ-ΔΧ0) (Β' 4203) και 147036 ΕΞ 22-11-2021 (ΑΔΑ: Ψ9Ρ2Η-8ΨΙ) (Β' 5424) τροποποιήσεων της.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 68ΦΓΗ-ΧΟΨ) (Β' 2670)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ΠΝΠ, όπως αυτή κυρώθηκε με το άρθρο 2 του ν. 4824/2021, που έχει χορηγηθεί δυνάμει της υπό στοιχεία ΓΔΟΥ 841/18.08.2021 (Β' 3853) κοινής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(ΑΔΑ: 68ΦΓΗ-ΧΟΨ) (Β' 2670)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11113/2025 27.02.2025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