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157866 ΕΞ 2021</w:t>
      </w:r>
    </w:p>
    <w:p>
      <w:pPr>
        <w:pStyle w:val="PreambelText"/>
        <w:spacing w:before="240" w:after="240"/>
        <w:rPr>
          <w:lang w:val="el" w:eastAsia="el"/>
        </w:rPr>
      </w:pPr>
      <w:r>
        <w:rPr>
          <w:b/>
          <w:bCs/>
          <w:lang w:val="el" w:eastAsia="el"/>
        </w:rPr>
        <w:t>Διαδικασία και προϋποθέσεις χορήγησης ενίσχυσης με τη μορφή επιχορήγησης σε επιχειρήσεις που επλήγησαν οικονομικά λόγω της εμφάνισης και διάδοσης της νόσου του κορωνοϊού COVID-19 κατά τους μήνες Ιούλιο, Αύγουστο και Σεπτέμβριο 2021, στην Περιφερειακή Ενότητα Εύβοιας της Περιφέρειας Στερεάς Ελλάδας, και υπέστησαν μεγάλες οικονομικές απώλειες που επιτάθηκαν από την πυρκαγιά που εκδηλώθηκε αρχής γενομένης την 3η Αυγούστου 2021 στην Β. Εύβοια.</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4. Τον 702/2014 Κανονισμό (ΕΕ)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w:t>
      </w:r>
    </w:p>
    <w:p>
      <w:pPr>
        <w:pStyle w:val="PreambelText"/>
        <w:spacing w:before="240" w:after="240"/>
        <w:rPr>
          <w:lang w:val="el" w:eastAsia="el"/>
        </w:rPr>
      </w:pPr>
      <w:r>
        <w:rPr>
          <w:lang w:val="el" w:eastAsia="el"/>
        </w:rPr>
        <w:t>5. Τον 1388/2014 Κανονισμό (ΕΕ)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w:t>
      </w:r>
    </w:p>
    <w:p>
      <w:pPr>
        <w:pStyle w:val="PreambelText"/>
        <w:spacing w:before="240" w:after="240"/>
        <w:rPr>
          <w:lang w:val="el" w:eastAsia="el"/>
        </w:rPr>
      </w:pPr>
      <w:r>
        <w:rPr>
          <w:lang w:val="el" w:eastAsia="el"/>
        </w:rPr>
        <w:t>6.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τις υπό στοιχεία C(2020)2215 final 03/04/2020, C(2020)3156 final της 08/05/2020 και C(2020) 4509 final της 29.06/2020, C(2020)7127 final της 13/10/2020, C(2021) 564 final της 28/01/2021 και C(2021) 8442 final της 18/11/2021 όμοιες.</w:t>
      </w:r>
    </w:p>
    <w:p>
      <w:pPr>
        <w:pStyle w:val="PreambelText"/>
        <w:spacing w:before="240" w:after="240"/>
        <w:rPr>
          <w:lang w:val="el" w:eastAsia="el"/>
        </w:rPr>
      </w:pPr>
      <w:r>
        <w:rPr>
          <w:lang w:val="el" w:eastAsia="el"/>
        </w:rPr>
        <w:t>7.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10. Το ν.δ. 356/1974 Κ.Ε.Δ.Ε. (Α’ 90).</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147/2017 «Οργανισμός του Υπουργείου Οικονομίας και Ανάπτυξης» (Α’ 192).</w:t>
      </w:r>
    </w:p>
    <w:p>
      <w:pPr>
        <w:pStyle w:val="PreambelText"/>
        <w:spacing w:before="240" w:after="240"/>
        <w:rPr>
          <w:lang w:val="el" w:eastAsia="el"/>
        </w:rPr>
      </w:pPr>
      <w:r>
        <w:rPr>
          <w:lang w:val="el" w:eastAsia="el"/>
        </w:rPr>
        <w:t>17. Το π.δ. 80/2016 «Ανάληψη υποχρεώσεων από τους διατάκτες» (Α’ 145).</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 63/2005 - Α’ 98) σε συνδυασμό με την παρ. 22 του άρθρου 119 του ν. 4622/2019 (Α’133).</w:t>
      </w:r>
    </w:p>
    <w:p>
      <w:pPr>
        <w:pStyle w:val="PreambelText"/>
        <w:spacing w:before="240" w:after="240"/>
        <w:rPr>
          <w:lang w:val="el" w:eastAsia="el"/>
        </w:rPr>
      </w:pPr>
      <w:r>
        <w:rPr>
          <w:lang w:val="el" w:eastAsia="el"/>
        </w:rPr>
        <w:t>19.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 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23. Την υπό στοιχεία Δ.Α.Ε.Φ.Κ.-Κ.Ε/13975/Α325/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24.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26. Την υπ’ αρ. 109/12-3-2019 Πράξη του Διοικητή της Τράπεζας της Ελλάδος.</w:t>
      </w:r>
    </w:p>
    <w:p>
      <w:pPr>
        <w:pStyle w:val="PreambelText"/>
        <w:spacing w:before="240" w:after="240"/>
        <w:rPr>
          <w:lang w:val="el" w:eastAsia="el"/>
        </w:rPr>
      </w:pPr>
      <w:r>
        <w:rPr>
          <w:lang w:val="el" w:eastAsia="el"/>
        </w:rPr>
        <w:t>27.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τις πυρκαγιές που εκδηλώθηκαν αρχής γενομένης από την 3η Αυγούστου 2021 στους Δήμους Μαντουδίου - Λίμνης - Αγίας Άννας και Ιστιαίας - Αιδηψού της Περιφερειακής Ενότητας Εύβοιας της Περιφέρειας Στερεάς Ελλάδας.</w:t>
      </w:r>
    </w:p>
    <w:p>
      <w:pPr>
        <w:pStyle w:val="PreambelText"/>
        <w:spacing w:before="240" w:after="240"/>
        <w:rPr>
          <w:lang w:val="el" w:eastAsia="el"/>
        </w:rPr>
      </w:pPr>
      <w:r>
        <w:rPr>
          <w:lang w:val="el" w:eastAsia="el"/>
        </w:rPr>
        <w:t>28. Την από 9.12.2021 εισήγηση του Διοικητή της Ανεξάρτητης Αρχής Δημοσίων Εσόδων.</w:t>
      </w:r>
    </w:p>
    <w:p>
      <w:pPr>
        <w:pStyle w:val="PreambelText"/>
        <w:spacing w:before="240" w:after="240"/>
        <w:rPr>
          <w:lang w:val="el" w:eastAsia="el"/>
        </w:rPr>
      </w:pPr>
      <w:r>
        <w:rPr>
          <w:lang w:val="el" w:eastAsia="el"/>
        </w:rPr>
        <w:t>29. Τις από 18.10.2021 και 9.12.2021 εισηγήσεις της Κυβερνητικής Επιτροπής Κρατικής Αρωγής.</w:t>
      </w:r>
    </w:p>
    <w:p>
      <w:pPr>
        <w:pStyle w:val="PreambelText"/>
        <w:spacing w:before="240" w:after="240"/>
        <w:rPr>
          <w:lang w:val="el" w:eastAsia="el"/>
        </w:rPr>
      </w:pPr>
      <w:r>
        <w:rPr>
          <w:lang w:val="el" w:eastAsia="el"/>
        </w:rPr>
        <w:t>30. Την υπό στοιχεία 2/119752/ΔΠΓΚ/8.12.2021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συνολικού ύψους επτά εκατομμυρίων πεντακοσίων χιλιάδων (7.500.000) ευρώ, εκ των οποίων τρία εκατομμύρια πεντακόσιες χιλιάδες (3.500.000) ευρώ σε βάρος του τρέχοντος οικονομικού έτους και τέσσερα εκατομμύρια (4.000.000) ευρώ σε βάρος του οικονομικού έτους 2022. Η δαπάνη αυτή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τον ΑΛΕ 2310988899 «Λοιπές μεταβιβάσεις σε νομικά πρόσωπα, φυσικά πρόσωπα και φορείς χωρίς νομική προσωπικότητα», από τον οποίο θα διενεργηθούν οι σχετικές πληρωμές. Επιπρόσθετα, προκαλείται δαπάνη η οποία αφορά στα συναφή τραπεζικά έξοδα και θα εξυπηρετηθεί από τις εγγεγραμμένες πιστώσεις του ΑΛΕ 2420913001 «Λοιπές αμοιβές για τραπεζικές υπηρεσίες» του προαναφερόμενου ειδικού φορέα,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επιχορήγησης για επιχειρήσεις, ανεξαρτήτως κλάδου, που επλήγησαν οικονομικά λόγω της εμφάνισης και διάδοσης της νόσου του κορωνοϊού COVID-19 (COVID-19) για τους μήνες Ιούλιο, Αύγουστο και Σεπτέμβριο 2021, στους Δήμους Μαντουδίου - Λίμνης - Αγίας Άννας και Ιστιαίας - Αιδηψού της Περιφερειακής Ενότητας Εύβοιας της Περιφέρειας Στερεάς Ελλάδας και έχουν υποστεί μεγάλες οικονομικές απώλειες οι οποίες επιτάθηκαν από τις πυρκαγιές που εκδηλώθηκαν αρχής γενομένης της 3ης Αυγούστου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κατόπιν έγκρισης του σχετικού καθεστώτος ενίσχυσης από την Επιτροπή.</w:t>
      </w:r>
    </w:p>
    <w:p>
      <w:pPr>
        <w:pStyle w:val="MainText"/>
        <w:spacing w:before="120" w:after="0"/>
        <w:rPr>
          <w:lang w:val="el" w:eastAsia="el"/>
        </w:rPr>
      </w:pPr>
      <w:r>
        <w:rPr>
          <w:b/>
          <w:bCs/>
          <w:lang w:val="el" w:eastAsia="el"/>
        </w:rPr>
        <w:t>3.</w:t>
      </w:r>
      <w:r>
        <w:rPr>
          <w:lang w:val="el" w:eastAsia="el"/>
        </w:rPr>
        <w:t xml:space="preserve"> Η ενίσχυση με τη μορφή επιχορήγησης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ν.4172/2013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του άρθρου 3 παρ. 3 περ.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(ΕΕ) αριθ. 1388/2014 της Επιτροπής της 16ης Δεκεμβρίου 2014,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4.</w:t>
      </w:r>
      <w:r>
        <w:rPr>
          <w:lang w:val="el" w:eastAsia="el"/>
        </w:rPr>
        <w:t xml:space="preserve"> Τομείς αλιείας και υδατοκαλλιέργειας: οι τομείς που εμπίπτουν στον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28.12.13),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5.</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6.</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7.</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8.</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θετικό κύκλο εργασιών το τρίτο τρίμηνο του έτους 2019, ως κύκλος εργασιών αναφοράς της επιχείρησης λαμβάνεται ο κύκλος εργασιών του τρίτου τριμήνου του έτους 2019,</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θετικό κύκλο εργασιών το τρίτο τρίμηνο του έτους 2019 και έχει θετικό κύκλο εργασιών το τρίτο τρίμηνο του έτους 2020, ως κύκλος εργασιών αναφοράς της επιχείρησης λαμβάνεται ο κύκλος εργασιών του τρίτου τριμήνου το έτους 2020,</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θετικό κύκλο εργασιών το τρίτο τρίμηνο του έτους 2019 ούτε το τρίτο τρίμηνο του έτους 2020 και έχει θετικό κύκλο εργασιών το δεύτερο τρίμηνο του έτους 2021, ως κύκλος εργασιών αναφοράς λαμβάνεται ο κύκλος εργασιών του δεύτερου τριμήνου του έτους 2021,</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επιχείρηση έχει κάνει έναρξη εργασιών εντός του έτους 2019 και ο κύκλος εργασιών του τρίτου τριμήνου 2019 είναι μικρότερος του κύκλου εργασιών του τρίτου τριμήνου 2020, τότε ως κύκλος εργασιών αναφοράς λαμβάνεται ο κύκλος εργασιών του τρίτου τριμήνου 2020,</w:t>
      </w:r>
    </w:p>
    <w:p>
      <w:pPr>
        <w:pStyle w:val="StructureList1"/>
        <w:spacing w:before="120" w:after="0"/>
        <w:rPr>
          <w:lang w:val="el" w:eastAsia="el"/>
        </w:rPr>
      </w:pPr>
      <w:r>
        <w:rPr>
          <w:lang w:val="el" w:eastAsia="el"/>
        </w:rPr>
        <w:t>ε)</w:t>
      </w:r>
      <w:r>
        <w:rPr>
          <w:lang w:val="en" w:eastAsia="en"/>
        </w:rPr>
        <w:tab/>
      </w:r>
      <w:r>
        <w:rPr>
          <w:lang w:val="el" w:eastAsia="el"/>
        </w:rPr>
        <w:t>σε διαφορετική περίπτωση, ο κύκλος εργασιών αναφοράς ισούται με μηδέν (0).</w:t>
      </w:r>
    </w:p>
    <w:p>
      <w:pPr>
        <w:spacing w:before="240" w:after="240"/>
        <w:rPr>
          <w:lang w:val="el" w:eastAsia="el"/>
        </w:rPr>
      </w:pPr>
      <w:r>
        <w:rPr>
          <w:lang w:val="el" w:eastAsia="el"/>
        </w:rPr>
        <w:t>Ως κύκλος εργασιών ορίζεται ο κύκλος εργασιών για σκοπούς ΦΠΑ σύμφωνα με τον κωδικό 312 της δήλωσης ΦΠΑ.</w:t>
      </w:r>
    </w:p>
    <w:p>
      <w:pPr>
        <w:pStyle w:val="MainText"/>
        <w:spacing w:before="120" w:after="0"/>
        <w:rPr>
          <w:lang w:val="el" w:eastAsia="el"/>
        </w:rPr>
      </w:pPr>
      <w:r>
        <w:rPr>
          <w:b/>
          <w:bCs/>
          <w:lang w:val="el" w:eastAsia="el"/>
        </w:rPr>
        <w:t>9.</w:t>
      </w:r>
      <w:r>
        <w:rPr>
          <w:lang w:val="el" w:eastAsia="el"/>
        </w:rPr>
        <w:t xml:space="preserve"> Για τους σκοπούς εφαρμογής της παρούσας απόφασης, λαμβάνονται υπόψη τα δεδομένα εισοδήματος και ΦΠΑ που έχουν δηλωθεί από τις επιχειρήσεις σύμφωνα με το άρθρο 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Οργανισμοί Λιμένων και οι επιχειρήσεις των ΟΤΑ υποκείμενες σε ΦΠΑ κατά την 31η Αυγούστου 2021 που δραστηριοποιούνται στον κλάδο "Υπηρεσίες θεραπευτικών λουτρών και ιαματικών πηγών” (ΚΑΔ 96.04.10.04).</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οι οποίες είναι υποκείμενες σε ΦΠΑ κατά την 31η Αυγούστου 2021, καθώς και μη κερδοσκοπικές επιχειρήσεις υποκείμενες σε ΦΠΑ κατά την 31η Αυγούστου 2021, οι οποίες έχουν την έδρα τους ή υποκατάστημα στους Δήμους Μαντουδίου - Λίμνης - Αγίας Άννας και Ιστιαίας - Αιδηψού της Περιφερειακής Ενότητας Εύβοιας της Περιφέρειας Στερεάς Ελλάδας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30η Ιουνίου 2021</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στους Δήμους Μαντουδίου - Λίμνης - Αγίας Άννας και Ιστιαίας - Αιδηψού της Περιφερειακής Ενότητας Εύβοιας της Περιφέρειας Στερεάς Ελλάδας, λειτουργούσαν νομίμως κατά την 3η Αυγούστου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 και 2020,</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31η Οκτωβρίου 2021.</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spacing w:before="240" w:after="240"/>
        <w:rPr>
          <w:lang w:val="el" w:eastAsia="el"/>
        </w:rPr>
      </w:pPr>
      <w:r>
        <w:rPr>
          <w:lang w:val="el" w:eastAsia="el"/>
        </w:rPr>
        <w:t>Το άθροισμα του κύκλου εργασιών των μηνών Ιουλίου, Αυγούστου και Σεπτεμβρίου 2021, όπως αυτό προκύπτει από τα στοιχεία των δηλώσεων ΦΠA (κωδικός 312 δήλωσης ΦΠΑ), παρουσιάζει μείωση κατά 30,00% τουλάχιστον σε σχέση με τον κύκλο εργασιών αναφοράς και επιπλέον ο κύκλος εργασιών αναφοράς είναι μεγαλύτερος από τετρακόσια πενήντα (450) ευρώ.</w:t>
      </w:r>
    </w:p>
    <w:p>
      <w:pPr>
        <w:spacing w:before="240" w:after="240"/>
        <w:rPr>
          <w:lang w:val="el" w:eastAsia="el"/>
        </w:rPr>
      </w:pPr>
      <w:r>
        <w:rPr>
          <w:lang w:val="el" w:eastAsia="el"/>
        </w:rPr>
        <w:t>Κατά τον ως άνω υπολογισμό διενεργείται στρογγυλοποίηση των ποσοστών μείωσης σε σχέση με τον κύκλο εργασιών αναφοράς, στο δεύτερο ποσοστιαίο δεκαδικό ψηφίο.</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ζ)</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αριθ.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7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ή άλλη διαδικασία αφερεγγυότητας βάσει εθνικού δικαίου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Οι επιχειρήσεις που δραστηριοποιούνται στους τομείς της μεταποίησης και εμπορίας γεωργικών προϊόντων διασφαλίζουν ότι δεν θα μετακυλήσει, εις ολόκληρον ή μερικώς στους πρωτογενείς παραγωγούς τη χορηγούμενη δυνάμει της παρούσας ενίσχυση.</w:t>
      </w:r>
    </w:p>
    <w:p>
      <w:pPr>
        <w:pStyle w:val="StructureList1"/>
        <w:spacing w:before="120" w:after="0"/>
        <w:rPr>
          <w:lang w:val="el" w:eastAsia="el"/>
        </w:rPr>
      </w:pPr>
      <w:r>
        <w:rPr>
          <w:lang w:val="el" w:eastAsia="el"/>
        </w:rPr>
        <w:t>γ)</w:t>
      </w:r>
      <w:r>
        <w:rPr>
          <w:lang w:val="en" w:eastAsia="en"/>
        </w:rPr>
        <w:tab/>
      </w:r>
      <w:r>
        <w:rPr>
          <w:lang w:val="el" w:eastAsia="el"/>
        </w:rPr>
        <w:t>Σε περίπτωση που δραστηριοποιούνται σε περισσότερους του ενός τομείς στους οποίους ισχύουν διαφορετικά ανώτατα όρια ενίσχυσης σύμφωνα με το Τμήμα 3.1 του Προσωρινού Πλαισίου, διασφαλίζουν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spacing w:before="240" w:after="240"/>
        <w:rPr>
          <w:lang w:val="el" w:eastAsia="el"/>
        </w:rPr>
      </w:pPr>
      <w:r>
        <w:rPr>
          <w:lang w:val="el" w:eastAsia="el"/>
        </w:rPr>
        <w:t>Ενίσχυση = [(Κύκλος εργασιών αναφοράς - άθροισμα κύκλου εργασιών Ιουλίου, Αυγούστου και Σεπτεμβρίου 2021) × ποσοστιαία διαφορά εκροών εισροών], όπου:</w:t>
      </w:r>
    </w:p>
    <w:p>
      <w:pPr>
        <w:pStyle w:val="StructureList1"/>
        <w:spacing w:before="120" w:after="0"/>
        <w:rPr>
          <w:lang w:val="el" w:eastAsia="el"/>
        </w:rPr>
      </w:pPr>
      <w:r>
        <w:rPr>
          <w:lang w:val="el" w:eastAsia="el"/>
        </w:rPr>
        <w:t>α)</w:t>
      </w:r>
      <w:r>
        <w:rPr>
          <w:lang w:val="en" w:eastAsia="en"/>
        </w:rPr>
        <w:tab/>
      </w:r>
      <w:r>
        <w:rPr>
          <w:lang w:val="el" w:eastAsia="el"/>
        </w:rPr>
        <w:t>Ο κύκλος εργασιών μηνών Ιουλίου, Αυγούστου και Σεπτεμβρίου 2021 και ο κύκλος εργασιών αναφοράς, όπως ορίζονται στην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Ειδικά για τις επιχειρήσεις που έχουν κατά τις 01.07.2021 κύριο ΚΑΔ δραστηριότητας «Εκμετάλλευση καταστήματος ψιλικών ειδών γενικά (47.19.10.01)», «Εκμετάλλευση περίπτερου (47.19.10.02)» και «Λιανικό εμπόριο προϊόντων καπνού σε εξειδικευμένα καταστήματα (47.26)», η ποσοστιαία διαφορών εκροών εισροών ισούται με το συνολικό κύκλο εργασιών ΦΠΑ (κωδικός 312 δήλωσης ΦΠΑ) του έτους 2019 αφαιρουμένων των εκροών απαλλασσόμενων και εξαιρέσιμων χωρίς δικαίωμα έκπτωσης (κωδικός 310 δήλωσης ΦΠΑ) και του συνόλου φορολογητέων εισροών (κωδικός 367 δήλωση ΦΠΑ) του έτους 2019, διαιρεμένου με το συνολικό κύκλο εργασιών ΦΠΑ του έτους 2019. Σε περίπτωση επιχειρήσεων που είχαν μηδενικό κύκλο εργασιών ΦΠΑ το έτος 2019, για το υπολογισμό εισροών και εκροών λαμβάνεται υπόψη ο κύκλος εργασιών ΦΠΑ του έτους 2020, το σύνολο φορολογητέων εισροών έτους 2020 και οι εκροές απαλλασσόμενων και εξαιρέσιμων χωρίς δικαίωμα έκπτωσης έτους 2020, κατά αναλογία. Σε περίπτωση που η ποσοστιαία διαφορά εκροών εισροών είναι μικρότερη του 30% ή ο συνολικός κύκλος εργασιών ΦΠΑ του έτους 2019 και 2020 είναι μηδενικός, θεωρείται ίση με 30%. Σε περίπτωση που η ποσοστιαία διαφορά εκροών εισροών είναι μεγαλύτερη του 60%, θεωρείται ίση με 60%.</w:t>
      </w:r>
    </w:p>
    <w:p>
      <w:pPr>
        <w:spacing w:before="240" w:after="240"/>
        <w:rPr>
          <w:lang w:val="el" w:eastAsia="el"/>
        </w:rPr>
      </w:pPr>
      <w:r>
        <w:rPr>
          <w:lang w:val="el" w:eastAsia="el"/>
        </w:rPr>
        <w:t>Για τον υπολογισμό των ποσοστιαίων διαφορών εκροών-εισροών,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Με την επιφύλαξη των προϋποθέσεων του άρθρου 5 της παρούσας, η ενίσχυση που προκύπτει από την παρ. 1 του παρόντος άρθρου δεν δύναται να υπερβαίνει το ποσό των διακοσίων χιλιάδων (200.000) ευρώ και δεν μπορεί να υπολείπεται του ποσού των χιλίων (1.000)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Το συνολικό ποσό ενισχύσεων που έχει λάβει η επιχείρηση από οποιοδήποτε πρόγραμμα βάσει του τμήματος 3.1 του Προσωρινού Πλαισίου, συμπεριλαμβανόμενης της χορηγούμενης ενίσχυσης δυνάμει της παρούσας, ελέγχεται σε επίπεδο ενιαίας επιχείρησης, όπως αυτή ορίζεται στο άρθρο 2, και δεν δύναται να υπερβαίνει το ποσό των δύο εκατομμυρίων τριακοσίων χιλιάδων (2.300.000) ευρώ. Αντιστοίχως, το συνολικό ποσό ενισχύσεων δεν δύναται να υπερβαίνει το ποσό των τριακοσίων σαράντα πέντε χιλιάδων (345.000)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ενενήντα χιλιάδων (290.000)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Ο έλεγχος της σώρευσης διενεργείται σε πρώτη φάση αυτόματα στην ηλεκτρονική πλατφόρμα myBusinessSuppport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2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3.</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4.</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w:t>
        </w:r>
      </w:hyperlink>
      <w:r>
        <w:rPr>
          <w:lang w:val="el" w:eastAsia="el"/>
        </w:rPr>
        <w:t>. aade.gr/mybusinesssupport).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14η Ιανουαρίου 2022.</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τα απαιτούμενα στοιχεία και πληροφορίες σχετικά με την πλήρωση των προϋποθέσεων της παρούσας,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επιλογή «Μητρώο και επικοινωνία» του myAADE της ΑΑΔΕ,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επιλογή «Μητρώο και επικοινωνία» του myAADE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ηλεκτρονική μορφή της αναλυτικής κατάστασης της περ. α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109/12-3- 2019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 α) 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οφείλουν να υποβάλουν, μέσω της ηλεκτρονικής πλατφόρμας «myBusinessSupport», μέχρι την 31η Μαρτίου 2022 τα δικαιολογητικά που προβλέπονται στο Παράρτημα ΙΙ.Β. της παρούσας, το οποίο και αποτελεί αναπόσπαστο μέρος της παρούσας.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w:t>
      </w:r>
    </w:p>
    <w:p>
      <w:pPr>
        <w:pStyle w:val="MainText"/>
        <w:spacing w:before="120" w:after="0"/>
        <w:rPr>
          <w:lang w:val="el" w:eastAsia="el"/>
        </w:rPr>
      </w:pPr>
      <w:r>
        <w:rPr>
          <w:b/>
          <w:bCs/>
          <w:lang w:val="el" w:eastAsia="el"/>
        </w:rPr>
        <w:t>2.</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σύμφωνα με τα άρθρα 4 και 5,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της χορηγηθείσας ενίσχυσης ή του υπερβάλλοντος ποσού της ενίσχυσης κατά περίπτωση,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5.</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6.</w:t>
      </w:r>
      <w:r>
        <w:rPr>
          <w:lang w:val="el" w:eastAsia="el"/>
        </w:rPr>
        <w:t xml:space="preserve"> Σε περίπτωση υπόνοιας καταστρατήγησης των διατάξεων ή υποβολής δηλώσεων με ψευδή ή ανακριβή στοιχεία που τροποποιούν το ύψος των ακαθάριστων εσόδων, του κύκλου εργασιών ή δεν αποτυπώνουν ορθά την κατάσταση λειτουργίας των επιχειρήσεων με σκοπό, είτε την υπαγωγή της αιτούσας στις διατάξεις του άρθρου 21 του ν. 4859/2021 (Α’ 228), είτε τον υπολογισμό μεγαλύτερου ποσού ενίσχυσης, η ΑΑΔΕ δύναται:</w:t>
      </w:r>
    </w:p>
    <w:p>
      <w:pPr>
        <w:spacing w:before="240" w:after="240"/>
        <w:rPr>
          <w:lang w:val="el" w:eastAsia="el"/>
        </w:rPr>
      </w:pPr>
      <w:r>
        <w:rPr>
          <w:lang w:val="el" w:eastAsia="el"/>
        </w:rPr>
        <w:t>i. να μην εγκρίνει προσωρινά την αίτηση για τη χορήγηση της ενίσχυσης και να ενημερώσει τη ΓΔΟΥ του Υπουργείου Οικονομικών για τις κατά νόμο ενέργειές της,</w:t>
      </w:r>
    </w:p>
    <w:p>
      <w:pPr>
        <w:spacing w:before="240" w:after="240"/>
        <w:rPr>
          <w:lang w:val="el" w:eastAsia="el"/>
        </w:rPr>
      </w:pPr>
      <w:r>
        <w:rPr>
          <w:lang w:val="el" w:eastAsia="el"/>
        </w:rPr>
        <w:t>ii. να μην καταβάλει σε λογαριασμούς δικαιούχων ποσά για τα οποία υπάρχουν υπόνοιες καταστρατήγησης των διατάξεων ενημερώνοντας σχετικά τις αρμόδιες υπηρεσίες,</w:t>
      </w:r>
    </w:p>
    <w:p>
      <w:pPr>
        <w:spacing w:before="240" w:after="240"/>
        <w:rPr>
          <w:lang w:val="el" w:eastAsia="el"/>
        </w:rPr>
      </w:pPr>
      <w:r>
        <w:rPr>
          <w:lang w:val="el" w:eastAsia="el"/>
        </w:rPr>
        <w:t>iii. να κοινοποιεί τα ευρήματα στον Εισαγγελέα Οικονομικού Εγκλήματος για την εξακρίβωση πιθανής απόπειρας τέλεσης οικονομικών εγκλημάτων σε βάρος του Ελληνικού Δημοσίου,</w:t>
      </w:r>
    </w:p>
    <w:p>
      <w:pPr>
        <w:spacing w:before="240" w:after="240"/>
        <w:rPr>
          <w:lang w:val="el" w:eastAsia="el"/>
        </w:rPr>
      </w:pPr>
      <w:r>
        <w:rPr>
          <w:lang w:val="el" w:eastAsia="el"/>
        </w:rPr>
        <w:t>iv. να προβαίνει κατά την κρίση της στις δέουσες ενέργειες συμμόρφωσης ή ελέγχου.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103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10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w:t>
      </w:r>
      <w:r>
        <w:rPr>
          <w:sz w:val="30"/>
          <w:szCs w:val="30"/>
          <w:vertAlign w:val="superscript"/>
          <w:lang w:val="el" w:eastAsia="el"/>
        </w:rPr>
        <w:t>1</w:t>
      </w:r>
      <w:r>
        <w:rPr>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i/>
          <w:iCs/>
          <w:lang w:val="el" w:eastAsia="el"/>
        </w:rPr>
        <w:t>Όπως ορίζεται στο Παράρτημα Ι του Καν.651/2014.</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V. Αν η επιχείρηση με βάση τον ορισμό που περιλαμβάνεται στο άρθρο 2 παρ.7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ή άλλη διαδικασία αφερεγγυότητας βάσει εθνικού δικαίου,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3.1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V. 4488/2017 (ΑΊ37).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 xml:space="preserve">B. </w:t>
      </w:r>
      <w:r>
        <w:rPr>
          <w:b/>
          <w:bCs/>
          <w:lang w:val="el" w:eastAsia="el"/>
        </w:rPr>
        <w:t>ΑΠΑΙΤΟΥΜΕΝΑ ΔΙΚΑΙΟΛΟΓΗΤΙΚΑ</w:t>
      </w:r>
    </w:p>
    <w:p>
      <w:pPr>
        <w:spacing w:before="240" w:after="240"/>
        <w:rPr>
          <w:lang w:val="el" w:eastAsia="el"/>
        </w:rPr>
      </w:pPr>
      <w:r>
        <w:rPr>
          <w:lang w:val="el" w:eastAsia="el"/>
        </w:rPr>
        <w:t>Η επιχείρηση οφείλει, σύμφωνα με τα προβλεπόμενα στην παρ.1 του άρθρου 9 της παρούσας να προσκομίσει τα κάτωθι δικαιολονητικά ως την 31.03.2022:</w:t>
      </w:r>
    </w:p>
    <w:p>
      <w:pPr>
        <w:pStyle w:val="MainText"/>
        <w:spacing w:before="120" w:after="0"/>
        <w:rPr>
          <w:lang w:val="el" w:eastAsia="el"/>
        </w:rPr>
      </w:pPr>
      <w:r>
        <w:rPr>
          <w:b/>
          <w:bCs/>
          <w:lang w:val="el" w:eastAsia="el"/>
        </w:rPr>
        <w:t>1.</w:t>
      </w:r>
      <w:r>
        <w:rPr>
          <w:lang w:val="el" w:eastAsia="el"/>
        </w:rPr>
        <w:t xml:space="preserve"> Υπεύθυνη δήλωση του λονιστή της επιχείρησης που να βεβαιώνει ότι η επιχείρηση την 31.12.2019 (ανάλονα με την νομική μορφή και το είδος βιβλίων της επιχείρησης) σύμφωνα με τα ανανραφόμενα στο σημείο A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εννενραμμένου της κεφαλαίου λόνω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λοναριασμούς της εταιρείας, λόνω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νια μενάλη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Ενιαίο Πιστοποιητικό Δικαστικής Φερεννυότητας.</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Επεξερνασία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Παρανωνή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νόνου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μαρναριταριών από καλλιέρνεια, ακατέρναστων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μαρναριταριών, ακατέρναστων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μαρναριταριών από καλλιέρνεια, ακατέρναστων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μαρναριταριών, ακατέρναστων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αλληλονραφία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πάνκων ή ανορών</w:t>
            </w:r>
          </w:p>
        </w:tc>
      </w:tr>
    </w:tbl>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