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1.5613/14.12.2021</w:t>
      </w:r>
    </w:p>
    <w:p>
      <w:pPr>
        <w:pStyle w:val="Title"/>
        <w:spacing w:before="120" w:after="360"/>
        <w:rPr>
          <w:lang w:val="el" w:eastAsia="el"/>
        </w:rPr>
      </w:pPr>
      <w:r>
        <w:rPr>
          <w:lang w:val="el" w:eastAsia="el"/>
        </w:rPr>
        <w:t>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pStyle w:val="Title"/>
        <w:spacing w:before="120" w:after="360"/>
        <w:rPr>
          <w:lang w:val="el" w:eastAsia="el"/>
        </w:rPr>
      </w:pPr>
      <w:r>
        <w:rPr>
          <w:b/>
          <w:bCs/>
          <w:lang w:val="el" w:eastAsia="el"/>
        </w:rPr>
        <w:t>Αριθμ. 1.5613/2021</w:t>
      </w:r>
    </w:p>
    <w:p>
      <w:pPr>
        <w:pStyle w:val="PreambelText"/>
        <w:spacing w:before="240" w:after="240"/>
        <w:rPr>
          <w:lang w:val="el" w:eastAsia="el"/>
        </w:rPr>
      </w:pPr>
      <w:r>
        <w:rPr>
          <w:lang w:val="el" w:eastAsia="el"/>
        </w:rPr>
        <w:t>(ΦΕΚ Β' 5895/16-12-2021)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ΑΝΑΠΤΥΞΗΣ ΚΑΙ ΕΠΕΝΔΥΣΕΩΝ - ΠΑΙΔΕΙΑΣ ΚΑΙ ΘΡΗΣΚΕΥΜΑΤΩΝ - ΕΡΓΑΣΙΑΣ ΚΑΙ ΚΟΙΝΩΝΙΚΩΝ ΥΠΟΘΕΣΕΩΝ - ΥΓΕΙΑΣ - ΠΕΡΙΒΑΛΛΟΝΤΟΣ ΚΑΙ ΕΝΕΡΓΕΙΑΣ - ΠΟΛΙΤΙΣΜΟΥ ΚΑΙ ΑΘΛΗΤΙΣΜΟΥ - ΕΣΩΤΕΡΙΚΩΝ -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4127/2013 και 4368/2016, όπως ισχύει» (Α' 107).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3.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Το Π.Δ.84/2019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Το Π.Δ.2/2021 «Διορισμός Υπουργών, Αναπληρωτών Υπουργών και Υφυπουργών» (Α' 2).</w:t>
      </w:r>
    </w:p>
    <w:p>
      <w:pPr>
        <w:pStyle w:val="PreambelText"/>
        <w:spacing w:before="240" w:after="240"/>
        <w:rPr>
          <w:lang w:val="el" w:eastAsia="el"/>
        </w:rPr>
      </w:pPr>
      <w:r>
        <w:rPr>
          <w:lang w:val="el" w:eastAsia="el"/>
        </w:rPr>
        <w:t>7. Την υπό στοιχεία Υ 70 (Β' 4805/2021) απόφαση του Πρωθυπουργού, «Ανάθεση αρμοδιοτήτων στον Αναπληρωτή Υπουργό Οικονομικών, Θεόδωρο Σκυλακάκη».</w:t>
      </w:r>
    </w:p>
    <w:p>
      <w:pPr>
        <w:pStyle w:val="PreambelText"/>
        <w:spacing w:before="240" w:after="240"/>
        <w:rPr>
          <w:lang w:val="el" w:eastAsia="el"/>
        </w:rPr>
      </w:pPr>
      <w:r>
        <w:rPr>
          <w:lang w:val="el" w:eastAsia="el"/>
        </w:rPr>
        <w:t>8. Τις διατάξεις της υπ’ αρ. 58591/09-08-2019 (Υ.Ο.Δ.Δ. 593) απόφασης του Πρωθυπουργού και του Υπουργού Εσωτερικών, «Ανάθεση καθηκόντων σε θέση μετακλητής Γενικής Γραμματέως Ανθρώπινου Δυναμικού Δημοσίου Τομέα του Υπουργείου Εσωτερικών».</w:t>
      </w:r>
    </w:p>
    <w:p>
      <w:pPr>
        <w:pStyle w:val="PreambelText"/>
        <w:spacing w:before="240" w:after="240"/>
        <w:rPr>
          <w:lang w:val="el" w:eastAsia="el"/>
        </w:rPr>
      </w:pPr>
      <w:r>
        <w:rPr>
          <w:lang w:val="el" w:eastAsia="el"/>
        </w:rPr>
        <w:t>9. Την υπ’ αρ. 51875/07-05-2021 (Β' 1867) απόφαση του Πρωθυπουργού και του Υπουργού Ανάπτυξης,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10. Το Π.Δ.68/2021 Διορισμός Υπουργών, Αναπληρώτριας Υπουργού και Υφυπουργών (Α' 155).</w:t>
      </w:r>
    </w:p>
    <w:p>
      <w:pPr>
        <w:pStyle w:val="PreambelText"/>
        <w:spacing w:before="240" w:after="240"/>
        <w:rPr>
          <w:lang w:val="el" w:eastAsia="el"/>
        </w:rPr>
      </w:pPr>
      <w:r>
        <w:rPr>
          <w:lang w:val="el" w:eastAsia="el"/>
        </w:rPr>
        <w:t>11. Τον ν. 4314/2014 «Για τη διαχείριση, τον έλεγχο και εφαρμογή αναπτυξιακών παρεμβάσεων για την προγραμματική περίοδο 2014-2020» (Α' 265), όπως τροποποιήθηκε και ισχύει και ιδίως την παρ. 12 του άρθρου 58 και την παρ. 4 του άρθρου 28.</w:t>
      </w:r>
    </w:p>
    <w:p>
      <w:pPr>
        <w:pStyle w:val="PreambelText"/>
        <w:spacing w:before="240" w:after="240"/>
        <w:rPr>
          <w:lang w:val="el" w:eastAsia="el"/>
        </w:rPr>
      </w:pPr>
      <w:r>
        <w:rPr>
          <w:lang w:val="el" w:eastAsia="el"/>
        </w:rPr>
        <w:t>12. Τον ν. 4763/2020 (Α' 254) σχετικά με το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w:t>
      </w:r>
    </w:p>
    <w:p>
      <w:pPr>
        <w:pStyle w:val="PreambelText"/>
        <w:spacing w:before="240" w:after="240"/>
        <w:rPr>
          <w:lang w:val="el" w:eastAsia="el"/>
        </w:rPr>
      </w:pPr>
      <w:r>
        <w:rPr>
          <w:lang w:val="el" w:eastAsia="el"/>
        </w:rPr>
        <w:t>13. Την περ. η’ της παρ. 3 του άρθρου 79 και την παρ. 3 του άρθρου 77 του ν. 4270/2014 «Αρχές Δημοσιονομικής Διαχείρισης και Εποπτείας (ενσωμάτωσης της Οδηγίας 2011/85/ΕΕ) Δημόσιο Λογιστικό και άλλες διατάξεις» (Α' 143).</w:t>
      </w:r>
    </w:p>
    <w:p>
      <w:pPr>
        <w:pStyle w:val="PreambelText"/>
        <w:spacing w:before="240" w:after="240"/>
        <w:rPr>
          <w:lang w:val="el" w:eastAsia="el"/>
        </w:rPr>
      </w:pPr>
      <w:r>
        <w:rPr>
          <w:lang w:val="el" w:eastAsia="el"/>
        </w:rPr>
        <w:t>14. Την υπό στοιχεία 58994/ΕΥΘΥ/4-6-2019 κοινή υπουργική απόφαση των Υπουργών Οικονομίας και Ανάπτυξης-Εργασίας, Κοινωνικής Ασφάλισης και Αλληλεγγύης-Οικονομικών Διοικητικής Ανασυγκρότησης περί της διάρθρωσης της ΕΥ ΕΔ ΕΣΠΑ ΑπΚΟ (Β' 2343).</w:t>
      </w:r>
    </w:p>
    <w:p>
      <w:pPr>
        <w:pStyle w:val="PreambelText"/>
        <w:spacing w:before="240" w:after="240"/>
        <w:rPr>
          <w:lang w:val="el" w:eastAsia="el"/>
        </w:rPr>
      </w:pPr>
      <w:r>
        <w:rPr>
          <w:lang w:val="el" w:eastAsia="el"/>
        </w:rPr>
        <w:t>15.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 (ΕΕ L 347 της 20.12.2013, σ. 470 έως 486).</w:t>
      </w:r>
    </w:p>
    <w:p>
      <w:pPr>
        <w:pStyle w:val="PreambelText"/>
        <w:spacing w:before="240" w:after="240"/>
        <w:rPr>
          <w:lang w:val="el" w:eastAsia="el"/>
        </w:rPr>
      </w:pPr>
      <w:r>
        <w:rPr>
          <w:lang w:val="el" w:eastAsia="el"/>
        </w:rPr>
        <w:t>16.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 1083/2006(ΕΕ L 347 της 20.12.2013, σ. 320 έως 469).</w:t>
      </w:r>
    </w:p>
    <w:p>
      <w:pPr>
        <w:pStyle w:val="PreambelText"/>
        <w:spacing w:before="240" w:after="240"/>
        <w:rPr>
          <w:lang w:val="el" w:eastAsia="el"/>
        </w:rPr>
      </w:pPr>
      <w:r>
        <w:rPr>
          <w:lang w:val="el" w:eastAsia="el"/>
        </w:rPr>
        <w:t>17. Τον Κανονισμό (ΕΕ) 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18. Τον ν. 4624/2019 σχετικά με τα μέτρα εφαρμογής του Καν. 2016/679 για την προστασία των φυσικών προσώπων έναντι της επεξεργασίας των δεδομένων προσωπικού χαρακτήρα (Α' 137).</w:t>
      </w:r>
    </w:p>
    <w:p>
      <w:pPr>
        <w:pStyle w:val="PreambelText"/>
        <w:spacing w:before="240" w:after="240"/>
        <w:rPr>
          <w:lang w:val="el" w:eastAsia="el"/>
        </w:rPr>
      </w:pPr>
      <w:r>
        <w:rPr>
          <w:lang w:val="el" w:eastAsia="el"/>
        </w:rPr>
        <w:t>19. Την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CCI2014GR05M9OP001), όπως ισχύει κάθε φορά.</w:t>
      </w:r>
    </w:p>
    <w:p>
      <w:pPr>
        <w:pStyle w:val="PreambelText"/>
        <w:spacing w:before="240" w:after="240"/>
        <w:rPr>
          <w:lang w:val="el" w:eastAsia="el"/>
        </w:rPr>
      </w:pPr>
      <w:r>
        <w:rPr>
          <w:lang w:val="el" w:eastAsia="el"/>
        </w:rPr>
        <w:t>20.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21. Την υπ’ αρ. 8595/01-02-2022 εισηγητική έκθεση της Γενικής Διεύθυνσης Οικονομικών Υπηρεσιών του Υπουργείου Εργασίας και Κοινωνικών Υποθέσεων.</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 xml:space="preserve">22. Το γεγονός ότι από τις διατάξεις της παρούσας προκαλείται συνολική δαπάνη ποσού ύψους 188.645.000,00 ευρώ επιμεριζόμενων α) έως 130.004.000,00 ευρώ για το 2022, και 2.000.000,00 ευρώ για το 2023, ως προς το συγχρηματοδοτούμενο σκέλος συνολικού ποσού ύψους 132.004.000,00 ευρώ σε βάρος του ΠΔΕ ΣΑΕ 334/1 του Υπουργείου Εργασίας και Κοινωνικών Υποθέσεων ποσού ύψους στο πλαίσιο του Επιχειρησιακού Προγράμματος «Ανάπτυξη Ανθρώπινου Δυναμικού Εκπαίδευση και Δια Βίου Μάθηση 2021-2027» και β) σε 55.641.000,00 ευρώ για το 2022, και 1.000.000 για το 2023, ως προς το εθνικό σκέλος συνολικού ποσού ύψους 56.641.000,00 ευρώ σε βάρος του προϋπολογισμού του Οργανισμού Απασχολήσεως Εργατικού Δυναμικού (ΚΑΕ 2493), </w:t>
      </w:r>
      <w:r>
        <w:rPr>
          <w:rStyle w:val="Hyperlink"/>
          <w:color w:val="000000"/>
          <w:sz w:val="20"/>
          <w:szCs w:val="20"/>
          <w:u w:val="none" w:color="0000EE"/>
          <w:vertAlign w:val="superscript"/>
          <w:lang w:val="el" w:eastAsia="el"/>
        </w:rPr>
        <w:footnoteReference w:id="3"/>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 ΙΔ του άρθρου πρώτου του ν. 4152/2013, όπως ισχύει».</w:t>
      </w:r>
    </w:p>
    <w:p>
      <w:pPr>
        <w:pStyle w:val="MainText"/>
        <w:spacing w:before="120" w:after="0"/>
        <w:rPr>
          <w:lang w:val="el" w:eastAsia="el"/>
        </w:rPr>
      </w:pPr>
      <w:r>
        <w:rPr>
          <w:b/>
          <w:bCs/>
          <w:lang w:val="el" w:eastAsia="el"/>
        </w:rPr>
        <w:t>2.</w:t>
      </w:r>
      <w:r>
        <w:rPr>
          <w:lang w:val="el" w:eastAsia="el"/>
        </w:rPr>
        <w:t xml:space="preserve"> Η δράση της απασχόλησης κατά το οκτάμηνης διάρκειας σκέλος της χρηματοδοτείται τόσο από συγχρηματοδοτούμενους, όσο και από εθνικούς πόρους εντός των ορίων των εγκεκριμένων σχετικών πιστώσεων. Τα όρια της συγχρηματοδοτούμενης δαπάνης ανά τύπο Περιφερειών ορίζονται κάθε φορά στην απόφαση ένταξης της πράξης και δύναται να ανακατανέμονται με τροποποίηση της απόφασης ένταξης ανάλογα με την πορεία υλοποίησης της πράξης.</w:t>
      </w:r>
    </w:p>
    <w:p>
      <w:pPr>
        <w:spacing w:before="240" w:after="240"/>
        <w:rPr>
          <w:lang w:val="el" w:eastAsia="el"/>
        </w:rPr>
      </w:pPr>
      <w:r>
        <w:rPr>
          <w:lang w:val="el" w:eastAsia="el"/>
        </w:rPr>
        <w:t xml:space="preserve">Δικαίωμα συμμετοχής στη δράση δεν έχουν οι ωφελούμενοι που συμμετείχαν στις υπ’ αρ. 9/2017, 16/2017, 4/2018, 8/2018, 10/2018, 3/2019 και 4/2020 Δημόσιες Προσκλήσεις του ΟΑΕΔ. </w:t>
      </w:r>
    </w:p>
    <w:p>
      <w:pPr>
        <w:spacing w:before="240" w:after="240"/>
        <w:rPr>
          <w:lang w:val="el" w:eastAsia="el"/>
        </w:rPr>
      </w:pPr>
      <w:r>
        <w:rPr>
          <w:lang w:val="el" w:eastAsia="el"/>
        </w:rPr>
        <w:t xml:space="preserve">Η δράση της κατάρτισης για όλες τις Περιφέρειες της χώρας εντάσσεται στο συγχρηματοδοτούμενο σκέλος.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Δήμους Περιφέρειες, Κέντρα Κοινωνικής Πρόνοιας Περιφερειών (ΚΚΠΠ)/συναφείς φορείς, Υπηρεσίες Υπουργείων και άλλων φορέων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 γ) 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MainText"/>
        <w:spacing w:before="120" w:after="0"/>
        <w:rPr>
          <w:lang w:val="el" w:eastAsia="el"/>
        </w:rPr>
      </w:pPr>
      <w:r>
        <w:rPr>
          <w:b/>
          <w:bCs/>
          <w:lang w:val="el" w:eastAsia="el"/>
        </w:rPr>
        <w:t>5.</w:t>
      </w:r>
      <w:r>
        <w:rPr>
          <w:lang w:val="el" w:eastAsia="el"/>
        </w:rPr>
        <w:t xml:space="preserve"> Η παρούσα δράση επεκτείνεται, μετά το πέρας της, για διάστημα τεσσάρων (4) επιπλέον μηνών.</w:t>
      </w:r>
    </w:p>
    <w:p>
      <w:pPr>
        <w:spacing w:before="240" w:after="240"/>
        <w:rPr>
          <w:lang w:val="el" w:eastAsia="el"/>
        </w:rPr>
      </w:pPr>
      <w:r>
        <w:rPr>
          <w:lang w:val="el" w:eastAsia="el"/>
        </w:rPr>
        <w:t>Η δαπάνη της επέκτασης θα καλυφθεί από συγχρηματοδοτούμενους και εθνικούς πόρους εντός των ορίων των εγκεκριμένων σχετικών πιστώσεων και σύμφωνα με τα οριζόμενα κάθε φορά στην απόφαση ένταξης της πράξης αναφορικά με τα όρια της συγχρηματοδοτούμενης δαπάνης ανά τύπο Περιφερειών. Η συγχρηματοδοτούμενη δαπάνη δύναται να περιλαμβάνει κατά ανώτατο όριο έως και δέκα (10) μήνες απασχόλησης.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6.</w:t>
      </w:r>
      <w:r>
        <w:rPr>
          <w:lang w:val="el" w:eastAsia="el"/>
        </w:rPr>
        <w:t xml:space="preserve"> Οι ωφελούμενοι των οποίων η διάρκεια της απασχόλησης λήγει πριν την ολοκλήρωση του προγράμματος της θεωρητικής κατάρτισης στο οποίο συμμετέχουν συνεχίζουν να απασχολούνται έως την ολοκλήρωση της κατάρτισης και πάντως όχι πέραν της 15ης Ιουλίου 2023, υπό τους ίδιους όρους, οι οποίοι ορίζονται στη σχετική δημόσια πρόσκληση και στις ίδιες θέσεις ανά φορέα και ειδικότητα, σε Δήμους, Περιφέρειες και λοιπά Ν.Π.Δ.Δ.</w:t>
      </w:r>
    </w:p>
    <w:p>
      <w:pPr>
        <w:spacing w:before="240" w:after="240"/>
        <w:rPr>
          <w:lang w:val="el" w:eastAsia="el"/>
        </w:rPr>
      </w:pPr>
      <w:r>
        <w:rPr>
          <w:lang w:val="el" w:eastAsia="el"/>
        </w:rPr>
        <w:t>Η δαπάνη της επέκτασης όπως προσδιορίζεται ανωτέρω θα καλυφθεί από πόρους της ΔΥΠΑ (εθνικό σκέλος).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Στόχος-Αντικείμενο-Διάρκεια</w:t>
      </w:r>
    </w:p>
    <w:p>
      <w:pPr>
        <w:pStyle w:val="MainText"/>
        <w:spacing w:before="120" w:after="0"/>
        <w:rPr>
          <w:lang w:val="el" w:eastAsia="el"/>
        </w:rPr>
      </w:pPr>
      <w:r>
        <w:rPr>
          <w:b/>
          <w:bCs/>
          <w:lang w:val="el" w:eastAsia="el"/>
        </w:rPr>
        <w:t>1.</w:t>
      </w:r>
      <w:r>
        <w:rPr>
          <w:lang w:val="el" w:eastAsia="el"/>
        </w:rPr>
        <w:t xml:space="preserve">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Παράλληλα το πρόγραμμα θα συνδέεται με την αναβάθμιση γνώσεων και δεξιοτήτων,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pStyle w:val="MainText"/>
        <w:spacing w:before="120" w:after="0"/>
        <w:rPr>
          <w:lang w:val="el" w:eastAsia="el"/>
        </w:rPr>
      </w:pPr>
      <w:r>
        <w:rPr>
          <w:b/>
          <w:bCs/>
          <w:lang w:val="el" w:eastAsia="el"/>
        </w:rPr>
        <w:t>2.</w:t>
      </w:r>
      <w:r>
        <w:rPr>
          <w:lang w:val="el" w:eastAsia="el"/>
        </w:rPr>
        <w:t xml:space="preserve"> Ειδικότερα, το πρόγραμμα εντάσσεται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στην καθαριότητα, στις υπηρεσίες διαμόρφωσης/συντήρησης πρασίνου,</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spacing w:before="240" w:after="240"/>
        <w:rPr>
          <w:lang w:val="el" w:eastAsia="el"/>
        </w:rPr>
      </w:pPr>
      <w:r>
        <w:rPr>
          <w:lang w:val="el" w:eastAsia="el"/>
        </w:rPr>
        <w:t>• οικολογικές δράσεις προστασίας της βιοποικιλότητας των προστατευόμενων περιοχών με σκοπό την ανάπτυξη και τη διατήρηση βιώσιμων πληθυσμών και οικοσυστημάτων,</w:t>
      </w:r>
    </w:p>
    <w:p>
      <w:pPr>
        <w:spacing w:before="240" w:after="240"/>
        <w:rPr>
          <w:lang w:val="el" w:eastAsia="el"/>
        </w:rPr>
      </w:pPr>
      <w:r>
        <w:rPr>
          <w:lang w:val="el" w:eastAsia="el"/>
        </w:rPr>
        <w:t>• μετάβαση στην κυκλική οικονομία,</w:t>
      </w:r>
    </w:p>
    <w:p>
      <w:pPr>
        <w:spacing w:before="240" w:after="240"/>
        <w:rPr>
          <w:lang w:val="el" w:eastAsia="el"/>
        </w:rPr>
      </w:pPr>
      <w:r>
        <w:rPr>
          <w:lang w:val="el" w:eastAsia="el"/>
        </w:rPr>
        <w:t>• προστασία και ανάδειξη του πολιτιστικού αποθέματος και βελτίωση των παρεχόμενων υπηρεσιών του τομέα πολιτισμού προς τους πολίτες,</w:t>
      </w:r>
    </w:p>
    <w:p>
      <w:pPr>
        <w:spacing w:before="240" w:after="240"/>
        <w:rPr>
          <w:lang w:val="el" w:eastAsia="el"/>
        </w:rPr>
      </w:pPr>
      <w:r>
        <w:rPr>
          <w:lang w:val="el" w:eastAsia="el"/>
        </w:rPr>
        <w:t>• βελτίωση των αθλητικών υποδομών και των παρεχόμενων υπηρεσιών στον τομέα του αθλητισμού.</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στο μητρώο του ΟΑΕΔ (ωφελούμενοι) μέσω της τοποθέτησής τους για συνολικό χρονικό διάστημα οκτώ (8) μηνών σύμφωνα με τον ν. 4152/2013, με τους όρους και τις προϋποθέσεις που η Δημόσια Πρόσκληση θα εξειδικεύσει, σε Δήμους, Περιφέρειες, Κέντρα Κοινωνικής Πρόνοιας Περιφερειών (ΚΚΠΠ)/συναφείς φορείς, Υπηρεσίες Υπουργείων και άλλων φορέων (επιβλέποντες φορείς),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ένταξης/επανένταξής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ωφελουμένων στη δράση της κατάρτισης είναι υποχρεωτική για τους ωφελούμενους ηλικίας έως και 54 ετών, ενώ για τους ωφελούμενους ηλικίας 55 ετών και άνω είναι προαιρετική.</w:t>
      </w:r>
    </w:p>
    <w:p>
      <w:pPr>
        <w:spacing w:before="240" w:after="240"/>
        <w:rPr>
          <w:lang w:val="el" w:eastAsia="el"/>
        </w:rPr>
      </w:pPr>
      <w:r>
        <w:rPr>
          <w:lang w:val="el" w:eastAsia="el"/>
        </w:rPr>
        <w:t>Συνοψίζοντας η δράση περιλαμβάνει:</w:t>
      </w:r>
    </w:p>
    <w:p>
      <w:pPr>
        <w:spacing w:before="240" w:after="240"/>
        <w:rPr>
          <w:lang w:val="el" w:eastAsia="el"/>
        </w:rPr>
      </w:pPr>
      <w:r>
        <w:rPr>
          <w:lang w:val="el" w:eastAsia="el"/>
        </w:rPr>
        <w:t>• Τοποθέτηση σε συγκεκριμένη θέση απασχόλησης για 8 μήνες σε Δήμους, Περιφέρειες, Κέντρα Κοινωνικής Πρόνοιας Περιφερειών (ΚΚΠΠ)/συναφείς φορείς και Υπηρεσίες Υπουργείων και άλλων φορέων.</w:t>
      </w:r>
    </w:p>
    <w:p>
      <w:pPr>
        <w:spacing w:before="240" w:after="240"/>
        <w:rPr>
          <w:lang w:val="el" w:eastAsia="el"/>
        </w:rPr>
      </w:pPr>
      <w:r>
        <w:rPr>
          <w:lang w:val="el" w:eastAsia="el"/>
        </w:rPr>
        <w:t>• Πρόγραμμα θεωρητικής κατάρτισης έως 150 ωρών, το οποίο θα οδηγεί στην πιστοποίηση των γνώσεων και δεξιοτήτων που θα αποκτηθούν στο πλαίσιο του προγράμματος κατάρτισης.</w:t>
      </w:r>
    </w:p>
    <w:p>
      <w:pPr>
        <w:spacing w:before="240" w:after="240"/>
        <w:rPr>
          <w:lang w:val="el" w:eastAsia="el"/>
        </w:rPr>
      </w:pPr>
      <w:r>
        <w:rPr>
          <w:lang w:val="el" w:eastAsia="el"/>
        </w:rPr>
        <w:t>Μετά το πέρας της ως άνω οκτάμηνης διάρκειας απασχόλησης, οι ωφελούμενοι συνεχίζουν να απασχολούνται για επιπλέον τέσσερις (4) μήνες, υπό τους ίδιους όρους, οι οποίοι ορίζονται στη σχετική δημόσια πρόσκληση και στις ίδιες θέσεις ανά φορέα και ειδικότητα, σε Δήμους, Περιφέρειες και λοιπά Ν.Π.Δ.Δ.</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ΕΔ ΕΣΠΑ ΥΠΕΚΥ ΑπΚΟ.</w:t>
      </w:r>
    </w:p>
    <w:p>
      <w:pPr>
        <w:pStyle w:val="MainText"/>
        <w:spacing w:before="120" w:after="0"/>
        <w:rPr>
          <w:lang w:val="el" w:eastAsia="el"/>
        </w:rPr>
      </w:pPr>
      <w:r>
        <w:rPr>
          <w:b/>
          <w:bCs/>
          <w:lang w:val="el" w:eastAsia="el"/>
        </w:rPr>
        <w:t>6.</w:t>
      </w:r>
      <w:r>
        <w:rPr>
          <w:lang w:val="el" w:eastAsia="el"/>
        </w:rPr>
        <w:t xml:space="preserve"> Σε ειδικά αιτιολογημένες περιπτώσεις που άπτονται ζητημάτων αρμοδιότητας του Υπουργείου Παιδείας και Θρησκευμάτων, το χρονικό διάστημα απασχόλησης των ωφελουμένων δύναται να παραταθεί έως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 Δημόσια Πρόσκληση αριθμού ημερομισθίων. Στις περιπτώσεις αυτές η απασχόληση των ωφελουμένων αναστέλλεται κατά τη διάρκεια των διακοπών Χριστουγέννων, Πάσχα και θέρους, εφόσον οι σχολικές μονάδες παραμένουν κλειστές.</w:t>
      </w:r>
    </w:p>
    <w:p>
      <w:pPr>
        <w:pStyle w:val="MainText"/>
        <w:spacing w:before="120" w:after="0"/>
        <w:rPr>
          <w:lang w:val="el" w:eastAsia="el"/>
        </w:rPr>
      </w:pPr>
      <w:r>
        <w:rPr>
          <w:b/>
          <w:bCs/>
          <w:lang w:val="el" w:eastAsia="el"/>
        </w:rPr>
        <w:t>7.</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 Δημόσια Πρόσκληση συνολικής διάρκειας εκάστου προγράμματος και μέχρι τη συμπλήρωση του ανώτατου προβλεπόμενου από τη Δημόσια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8.</w:t>
      </w:r>
      <w:r>
        <w:rPr>
          <w:lang w:val="el" w:eastAsia="el"/>
        </w:rPr>
        <w:t xml:space="preserve"> Όταν οι ωφελούμενοι κάνουν χρήση αναρρωτικής άδειας πέραν των δεκατριών (13) ημερών συνολικώς, όπως περιγράφονται στην παρ. 1β του άρθρου 11, παρατείνεται η δυνατότητα απασχόλησής τους μέχρι του ανώτατου ορίου των ημερομισθίων που προβλέπεται από Δημόσια Πρόσκληση, εντός του χρονικού περιορισμού της παρ. 6.</w:t>
      </w:r>
    </w:p>
    <w:p>
      <w:pPr>
        <w:pStyle w:val="MainText"/>
        <w:spacing w:before="120" w:after="0"/>
        <w:rPr>
          <w:lang w:val="el" w:eastAsia="el"/>
        </w:rPr>
      </w:pPr>
      <w:r>
        <w:rPr>
          <w:b/>
          <w:bCs/>
          <w:lang w:val="el" w:eastAsia="el"/>
        </w:rPr>
        <w:t>9.</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 Δημόσια Πρόσκληση αριθμού ημερομισθίων και-ως προς το συγχρηματοδοτούμενο σκέλος της δράσης όχι πέραν της ημερομηνίας λήξης του φυσικού αντικειμένου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ο ΟΑΕΔ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Ο ΟΑΕΔ καταρτίζει τη Δημόσια Πρόσκληση και είναι αρμόδιος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και την καταβολή των αμοιβών στους ωφελουμένους.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Δήμοι, Περιφέρειες, Κέντρα Κοινωνικής Πρόνοιας Περιφερειών (ΚΚΠΠ)/ συναφείς φορείς, Υπηρεσίες Υπουργείων και άλλων φορέων, οι οποίοι θα προσλάβουν και θα απασχολήσουν ανέργους και θα πιστοποιούν την απασχόλησή τους στον ΟΑΕΔ.</w:t>
      </w:r>
    </w:p>
    <w:p>
      <w:pPr>
        <w:pStyle w:val="MainText"/>
        <w:spacing w:before="120" w:after="0"/>
        <w:rPr>
          <w:lang w:val="el" w:eastAsia="el"/>
        </w:rPr>
      </w:pPr>
      <w:r>
        <w:rPr>
          <w:b/>
          <w:bCs/>
          <w:lang w:val="el" w:eastAsia="el"/>
        </w:rPr>
        <w:t>5.</w:t>
      </w:r>
      <w:r>
        <w:rPr>
          <w:lang w:val="el" w:eastAsia="el"/>
        </w:rPr>
        <w:t xml:space="preserve"> Συνυπεύθυνοι επεξεργασίας δεδομένων προσωπικού χαρακτήρα ως προς τις πράξεις που συγχρηματοδοτούνται από το Ευρωπαϊκό Κοινωνικό Ταμείο (ΕΚΤ) και υλοποιούνται στο πλαίσιο των ΕΠ, ορίζονται τα Υπουργεία Εργασίας και Κοινωνικών Υποθέσεων καθώς και Ανάπτυξης και Επενδύσεων μέσω της Ειδικής Υπηρεσίας Διαχείρισης του Επιχειρησιακού Προγράμματος «Ανάπτυξη Ανθρώπινου Δυναμικού, Εκπαίδευση και Διά Βίου Μάθηση» (ΕΥΔ ΕΠΑΝΑΔΕΔΒΜ).</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Ειδική Υπηρεσία ΕΔ ΕΣΠΑ ΥΠΕΚΥ ΑπΚΟ, ο ΟΑΕΔ, το εποπτευόμενο από το Υπουργείο Παιδείας και Θρησκευμάτων Ινστιτούτο Τεχνολογίας Υπολογιστών και Εκδόσεων (ΙΤΥΕ) «ΔΙΟΦΑΝΤΟΣ» και όποιος άλλος επεξεργάζεται δεδομένα προσωπικού χαρακτήρα για λογαριασμό των Υπουργείων Εργασίας και Κοινωνικών Υποθέσεων και Ανάπτυξης και Επενδύσεων.</w:t>
      </w:r>
    </w:p>
    <w:p>
      <w:pPr>
        <w:pStyle w:val="MainText"/>
        <w:spacing w:before="120" w:after="0"/>
        <w:rPr>
          <w:lang w:val="el" w:eastAsia="el"/>
        </w:rPr>
      </w:pPr>
      <w:r>
        <w:rPr>
          <w:b/>
          <w:bCs/>
          <w:lang w:val="el" w:eastAsia="el"/>
        </w:rPr>
        <w:t>7.</w:t>
      </w:r>
      <w:r>
        <w:rPr>
          <w:lang w:val="el" w:eastAsia="el"/>
        </w:rPr>
        <w:t xml:space="preserve"> Ως άλλοι ορίζονται, σύμφωνα με το άρθρο 4 (περ. 10)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τον ΟΑΕΔ ως προς το συγχρηματοδοτούμενο σκέλος της (σύμφωνα με τα παραδοτέα του έργου, όπως αυτά εξειδικεύονται στην πρόσκληση) και από πόρους του ΟΑΕΔ ως προς το εθνικό σκέλος.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έγκρισης που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τον ΟΑΕΔ πραγματοποιούνται ως εξής: </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30%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 xml:space="preserve">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30%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80% των ωφελουμένων από τους επιβλέποντες φορείς. </w:t>
      </w:r>
    </w:p>
    <w:p>
      <w:pPr>
        <w:pStyle w:val="StructureList1"/>
        <w:spacing w:before="120" w:after="0"/>
        <w:rPr>
          <w:lang w:val="el" w:eastAsia="el"/>
        </w:rPr>
      </w:pPr>
      <w:r>
        <w:rPr>
          <w:lang w:val="el" w:eastAsia="el"/>
        </w:rPr>
        <w:t>γ)</w:t>
      </w:r>
      <w:r>
        <w:rPr>
          <w:lang w:val="en" w:eastAsia="en"/>
        </w:rPr>
        <w:tab/>
      </w:r>
      <w:r>
        <w:rPr>
          <w:lang w:val="el" w:eastAsia="el"/>
        </w:rPr>
        <w:t>Η τρίτη δόση καταβάλλεται αφού οι επιβλέποντες φορείς έχουν ολοκληρώσει το 100% των αναγγελιών τοποθέτησης επί του συνόλου των επιτυχόντων ανέργων του οριστικού πίνακα κατάταξης και του συνόλου των αντικαταστάσεων και ανέρχεται σε ποσοστό 20%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συνόλου των ωφελουμένων από τον επιβλέποντα φορέα.</w:t>
      </w:r>
    </w:p>
    <w:p>
      <w:pPr>
        <w:pStyle w:val="StructureList1"/>
        <w:spacing w:before="120" w:after="0"/>
        <w:rPr>
          <w:lang w:val="el" w:eastAsia="el"/>
        </w:rPr>
      </w:pPr>
      <w:r>
        <w:rPr>
          <w:lang w:val="el" w:eastAsia="el"/>
        </w:rPr>
        <w:t>δ)</w:t>
      </w:r>
      <w:r>
        <w:rPr>
          <w:lang w:val="en" w:eastAsia="en"/>
        </w:rPr>
        <w:tab/>
      </w:r>
      <w:r>
        <w:rPr>
          <w:lang w:val="el" w:eastAsia="el"/>
        </w:rPr>
        <w:t>Η τέταρτη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του 100% του φυσικού και οικονομικού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Ωφελούμενοι-Κριτήρια και σύστημα επιλογής</w:t>
      </w:r>
    </w:p>
    <w:p>
      <w:pPr>
        <w:pStyle w:val="MainText"/>
        <w:spacing w:before="120" w:after="0"/>
        <w:rPr>
          <w:lang w:val="el" w:eastAsia="el"/>
        </w:rPr>
      </w:pPr>
      <w:r>
        <w:rPr>
          <w:b/>
          <w:bCs/>
          <w:lang w:val="el" w:eastAsia="el"/>
        </w:rPr>
        <w:t>1.</w:t>
      </w:r>
      <w:r>
        <w:rPr>
          <w:lang w:val="el" w:eastAsia="el"/>
        </w:rPr>
        <w:t xml:space="preserve"> O ΟΑΕΔ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και των υπηρεσιών τοποθέτησης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 ή και τις υπηρεσίες τοποθέτησης.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στο μητρώο ανέργων του ΟΑΕΔ, μέλη οικογενειών στις οποίες δεν εργάζεται κανείς και οι σύζυγοι αυτών είναι εγγεγραμμένοι άνεργοι στο μητρώο ανέργων του ΟΑΕΔ,</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στο μητρώο ανέργων του ΟΑΕΔ,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στο μητρώο ανέργων του ΟΑΕΔ,</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στο μητρώο ανέργων του ΟΑΕΔ,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στο μητρώο ανέργων του ΟΑΕΔ, στ) εγγεγραμμένοι στο μητρώο ανέργων ΑμεΑ του ΟΑΕΔ και</w:t>
      </w:r>
    </w:p>
    <w:p>
      <w:pPr>
        <w:pStyle w:val="StructureList1"/>
        <w:spacing w:before="120" w:after="0"/>
        <w:rPr>
          <w:lang w:val="el" w:eastAsia="el"/>
        </w:rPr>
      </w:pPr>
      <w:r>
        <w:rPr>
          <w:lang w:val="el" w:eastAsia="el"/>
        </w:rPr>
        <w:t>ζ)</w:t>
      </w:r>
      <w:r>
        <w:rPr>
          <w:lang w:val="en" w:eastAsia="en"/>
        </w:rPr>
        <w:tab/>
      </w:r>
      <w:r>
        <w:rPr>
          <w:lang w:val="el" w:eastAsia="el"/>
        </w:rPr>
        <w:t>άνεργοι δικαιούχοι «Ελάχιστου Εγγυημένου Εισοδήματος», εγγεγραμμένοι στο μητρώο ανέργων του ΟΑΕΔ, η) άνεργοι ενήλικες που συνεχίζουν να διαμένουν (μετά την ενηλικίωσή τους) σε Μονάδες Παιδικής Προστασίας και Φροντίδας (ν. 4538/2018), εγγεγραμμένοι στο Εθνικό Μητρώο Ανηλίκων κατόπιν χορήγησης της συναφούς βεβαίωσης από το Εθνικό Κέντρο Κοινωνικής Αλληλεγγύης (ΕΚΚΑ),</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 α και β νοούνται οι εγγεγραμμένοι άνεργοι σύζυγοι της περ. α και ο εγγεγραμμένος άνεργος αρχηγός μονογονεϊκής οικογένειας της περ.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 γ (για τους μακροχρόνια ανέργους 12 μηνών και άνω), ε, στ και ζ. Δικαίωμα συμμετοχής στη δράση δεν έχουν οι ωφελούμενοι που συμμετείχαν στις υπ’ αρ. 9/2017, 16/2017, 4/2018, 8/2018, 10/2018, 3/2019 και 4/2020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ωφελουμένου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δηλωθέν εισόδημα (συμπεριλαμβανομένου και του αυτοτελούς εισοδήματος) του φορολογικού έτους 2020, ατομικό ή οικογενειακό,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3"/>
        <w:gridCol w:w="26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3.500,01-5.000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5"/>
        <w:gridCol w:w="2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5"/>
        <w:gridCol w:w="2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8.000,01-12.000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5"/>
        <w:gridCol w:w="2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Ελάχιστου Εγγυημένου Εισοδήματος: σαράντα (40) μόρια.</w:t>
      </w:r>
    </w:p>
    <w:p>
      <w:pPr>
        <w:pStyle w:val="StructureList1"/>
        <w:spacing w:before="120" w:after="0"/>
        <w:rPr>
          <w:lang w:val="el" w:eastAsia="el"/>
        </w:rPr>
      </w:pPr>
      <w:r>
        <w:rPr>
          <w:lang w:val="el" w:eastAsia="el"/>
        </w:rPr>
        <w:t>θ)</w:t>
      </w:r>
      <w:r>
        <w:rPr>
          <w:lang w:val="en" w:eastAsia="en"/>
        </w:rPr>
        <w:tab/>
      </w:r>
      <w:r>
        <w:rPr>
          <w:lang w:val="el" w:eastAsia="el"/>
        </w:rPr>
        <w:t>άνεργοι ενήλικες που συνεχίζουν να διαμένουν (μετά την ενηλικίωσή τους) σε Μονάδες Παιδικής Προστασίας και Φροντίδας (ν. 4538/2018), εγγεγραμμένοι στο Εθνικό Μητρώο Ανηλίκων κατόπιν χορήγησης της συναφούς βεβαίωσης από το Εθνικό Κέντρο Κοινωνικής Αλληλεγγύης (ΕΚΚΑ): δέκα (10) μόρια.</w:t>
      </w:r>
    </w:p>
    <w:p>
      <w:pPr>
        <w:pStyle w:val="StructureList1"/>
        <w:spacing w:before="120" w:after="0"/>
        <w:rPr>
          <w:lang w:val="el" w:eastAsia="el"/>
        </w:rPr>
      </w:pPr>
      <w:r>
        <w:rPr>
          <w:lang w:val="el" w:eastAsia="el"/>
        </w:rPr>
        <w:t>ι)</w:t>
      </w:r>
      <w:r>
        <w:rPr>
          <w:lang w:val="en" w:eastAsia="en"/>
        </w:rPr>
        <w:tab/>
      </w:r>
      <w:r>
        <w:rPr>
          <w:lang w:val="el" w:eastAsia="el"/>
        </w:rPr>
        <w:t>Οι 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ΤΕ)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 Δημόσια Πρόσκληση του ΟΑΕΔ, η οποία εκδίδεται κατόπιν έγκρισης του Ανωτάτου Συμβουλίου Επιλογής Προσωπικού (ΑΣΕΠ). Το ΑΣΕΠ εγκρίνει ή τροποποιεί τη σχετική Δημόσια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Δημόσιας Πρόσκλησης του ΟΑΕΔ,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w:t>
      </w:r>
    </w:p>
    <w:p>
      <w:pPr>
        <w:spacing w:before="240" w:after="240"/>
        <w:rPr>
          <w:lang w:val="el" w:eastAsia="el"/>
        </w:rPr>
      </w:pPr>
      <w:r>
        <w:rPr>
          <w:lang w:val="el" w:eastAsia="el"/>
        </w:rPr>
        <w:t>(3) υπηρεσίες τοποθέτησης ή/και επιβλέποντες φορείς, όπως προβλέπει η Δημόσια Πρόσκληση. Οι δυνητικά ωφελούμενοι ηλικίας έως και 54 ετών στην αίτησή τους επιλέγουν επίσης από ένα (1) έως δύο (2) θεματικά αντικείμενα για το πρόγραμμα κατάρτισης που θα παρακολουθήσουν. Επισημαίνεται ότι για τους δυνητικά ωφελούμενους ηλικίας 55 ετών και άνω η εν λόγω επιλογή είναι προαιρετική.</w:t>
      </w:r>
    </w:p>
    <w:p>
      <w:pPr>
        <w:spacing w:before="240" w:after="240"/>
        <w:rPr>
          <w:lang w:val="el" w:eastAsia="el"/>
        </w:rPr>
      </w:pPr>
      <w:r>
        <w:rPr>
          <w:lang w:val="el" w:eastAsia="el"/>
        </w:rPr>
        <w:t>Για την απρόσκοπτη υλοποίηση της δράσης, για τα τμήματα κατάρτισης που σχηματίζονται μετά την 9-06-2023 και για τις περιπτώσεις μη σχηματισμού τμημάτων των θεματικών αντικειμένων της αρχικής επιλογής των ωφελουμένων, είναι δυνατή, με σύμφωνη γνώμη των ωφελούμενων, η αλλαγή του θεματικού αντικειμένου της κατάρτισης.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του ΟΑΕΔ (www.oaed.gr) και μετά τη συμπλήρωσή της, οι δυνητικά ωφελούμενοι την αποστέλλουν μέσω του συστήματος ηλεκτρονικών αιτήσεων (http://ait.oaed.gr/).</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 Δημόσια Πρόσκληση, ο δυνητικά ωφελούμενος αποκλείεται από τη διαδικασία κατάρτισης του πίνακα κατάταξης ανέργων και, κατά συνέπεια, από τη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 Δημόσια Πρόσκληση. Το εμπρόθεσμο αυτής κρίνεται με βάση την ημερομηνία και την ώρα υποβολής της ηλεκτρονικής αίτησης.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τον ΟΑΕΔ για τη χρήση και επεξεργασία των προσωπικών δεδομένων του αιτούντος για τους σκοπούς της Δημόσιας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 Δημόσια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Ο ΟΑΕΔ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 Δημόσια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τον ΟΑΕΔ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του ΟΑΕΔ.</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Δημόσια Πρόσκληση του ΟΑΕΔ.</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του ΟΑΕΔ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του ΟΑΕΔ.</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οφείλουν να είναι εγγεγραμμένοι στα μητρώα ανέργων του ΟΑΕΔ, τόσο κατά την ημερομηνία υπόδειξής τους από τις αρμόδιες υπηρεσίες (ΚΠΑ2) του Οργανισμού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υπόδειξης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από την αρμόδια υπηρεσία (ΚΠΑ2) του ΟΑΕΔ.</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Υπόδειξη-Τοποθέτηση ωφελουμένων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τοποθέτησής τους από τον επιβλέποντα φορέα, και υπό την προϋπόθεση ότι πληρούν τα τυπικά προσόντα που προβλέπονται στην Δημόσια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τον ΟΑΕΔ,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 Δημόσια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 Δημόσια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υποδείξεις των ωφελουμένων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τον ΟΑΕΔ για την ολοκλήρωση της διαδικασίας.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ωφελουμένων οι οποίοι δεν αποδέχονται την τοποθέτησή τους ή δεν προσκομίζουν τα αιτούμενα δικαιολογητικά, ενημερώνει σχετικά το ΚΠΑ2 του ΟΑΕΔ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του ΟΑΕΔ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ωφελουμένου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υπηρεσία)με αιτιολογημένη έκθεση του επιβλέποντα φορέα κοινοποιούμενη στο δικαιούχο και στον ΟΑΕΔ.</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ωφελουμένου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ωφελουμένου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μεταξύ ωφελουμένων και επιβλεπόντων φορέων σχετικά με αμφισβήτηση τυπικών προσόντων, αρμόδιο όργανο είναι το ΑΣΕΠ. Ο ΟΑΕΔ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Μισθολογικό και μη μισθολογικό κόστος - Αμοιβές ωφελουμένων - Επιλέξιμες δαπάνες</w:t>
      </w:r>
    </w:p>
    <w:p>
      <w:pPr>
        <w:pStyle w:val="MainText"/>
        <w:spacing w:before="120" w:after="0"/>
        <w:rPr>
          <w:lang w:val="el" w:eastAsia="el"/>
        </w:rPr>
      </w:pPr>
      <w:r>
        <w:rPr>
          <w:b/>
          <w:bCs/>
          <w:lang w:val="el" w:eastAsia="el"/>
        </w:rPr>
        <w:t>1.</w:t>
      </w:r>
      <w:r>
        <w:rPr>
          <w:lang w:val="el" w:eastAsia="el"/>
        </w:rPr>
        <w:t xml:space="preserve"> Ο ΟΑΕΔ καταβάλλει το μισθολογικό κόστος των ωφελούμενων που θα απασχολήσει ο επιβλέπων φορέας και τις ασφαλιστικές εισφορές (φορέα-ωφελούμενου), οι οποίες θα είναι σύμφωνες με την ειδικότητά τους».</w:t>
      </w:r>
    </w:p>
    <w:p>
      <w:pPr>
        <w:pStyle w:val="MainText"/>
        <w:spacing w:before="120" w:after="0"/>
        <w:rPr>
          <w:lang w:val="el" w:eastAsia="el"/>
        </w:rPr>
      </w:pPr>
      <w:r>
        <w:rPr>
          <w:b/>
          <w:bCs/>
          <w:lang w:val="el" w:eastAsia="el"/>
        </w:rPr>
        <w:t>2.</w:t>
      </w:r>
      <w:r>
        <w:rPr>
          <w:lang w:val="el" w:eastAsia="el"/>
        </w:rPr>
        <w:t xml:space="preserve"> Οι καθαρές αμοιβές των ωφελούμενων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 όπως ισχύει».</w:t>
      </w:r>
    </w:p>
    <w:p>
      <w:pPr>
        <w:pStyle w:val="MainText"/>
        <w:spacing w:before="120" w:after="0"/>
        <w:rPr>
          <w:lang w:val="el" w:eastAsia="el"/>
        </w:rPr>
      </w:pPr>
      <w:r>
        <w:rPr>
          <w:b/>
          <w:bCs/>
          <w:lang w:val="el" w:eastAsia="el"/>
        </w:rPr>
        <w:t>3.</w:t>
      </w:r>
      <w:r>
        <w:rPr>
          <w:lang w:val="el" w:eastAsia="el"/>
        </w:rPr>
        <w:t xml:space="preserve"> Ο ΟΑΕΔ και ο επιβλέπων φορέας, εκτός από τα οριζόμενα ποσά στην παρούσα, δεν καταβάλλει οποιαδήποτε άλλη παροχή, ενίσχυση ή αμοιβή στους ωφελουμένους.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ωφελουμένου και επιβλέποντα φορέα. Επιλέξιμη δαπάνη αποτελεί και η εισφορά των παρ. 1 και 5 του άρθρου 89Γ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η διάταξη του άρθρου 23 του ν. 4529/2018.</w:t>
      </w:r>
    </w:p>
    <w:p>
      <w:pPr>
        <w:pStyle w:val="MainText"/>
        <w:spacing w:before="120" w:after="0"/>
        <w:rPr>
          <w:lang w:val="el" w:eastAsia="el"/>
        </w:rPr>
      </w:pPr>
      <w:r>
        <w:rPr>
          <w:b/>
          <w:bCs/>
          <w:lang w:val="el" w:eastAsia="el"/>
        </w:rPr>
        <w:t>7.</w:t>
      </w:r>
      <w:r>
        <w:rPr>
          <w:lang w:val="el" w:eastAsia="el"/>
        </w:rPr>
        <w:t xml:space="preserve"> Για τους ωφελουμένους που θα απασχοληθούν σε βαριές και ανθυγιεινές εργασίες, όπως αυτές περιγράφονται στην υπό στοιχεία Φ10221/οικ.26816/929/30.11.2011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ωφελουμένους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ωφελουμένου:</w:t>
      </w:r>
    </w:p>
    <w:p>
      <w:pPr>
        <w:spacing w:before="240" w:after="240"/>
        <w:rPr>
          <w:lang w:val="el" w:eastAsia="el"/>
        </w:rPr>
      </w:pPr>
      <w:r>
        <w:rPr>
          <w:lang w:val="el" w:eastAsia="el"/>
        </w:rPr>
        <w:t>-ονοματεπώνυμο και όνομα πατέρα και μητέρας</w:t>
      </w:r>
    </w:p>
    <w:p>
      <w:pPr>
        <w:spacing w:before="240" w:after="240"/>
        <w:rPr>
          <w:lang w:val="el" w:eastAsia="el"/>
        </w:rPr>
      </w:pPr>
      <w:r>
        <w:rPr>
          <w:lang w:val="el" w:eastAsia="el"/>
        </w:rPr>
        <w:t>-Αριθμό Φορολογικού Μητρώου (ΑΦΜ)</w:t>
      </w:r>
    </w:p>
    <w:p>
      <w:pPr>
        <w:spacing w:before="240" w:after="240"/>
        <w:rPr>
          <w:lang w:val="el" w:eastAsia="el"/>
        </w:rPr>
      </w:pPr>
      <w:r>
        <w:rPr>
          <w:lang w:val="el" w:eastAsia="el"/>
        </w:rPr>
        <w:t>-Αριθμό Μητρώου Κοινωνικής Ασφάλισης (ΑΜΚΑ)</w:t>
      </w:r>
    </w:p>
    <w:p>
      <w:pPr>
        <w:spacing w:before="240" w:after="240"/>
        <w:rPr>
          <w:lang w:val="el" w:eastAsia="el"/>
        </w:rPr>
      </w:pPr>
      <w:r>
        <w:rPr>
          <w:lang w:val="el" w:eastAsia="el"/>
        </w:rPr>
        <w:t>-Αριθμό Μητρώου (ΑΜ) Ενιαίου Φορέα Κοινωνικής Ασφάλισης ή πρώην ΕΤΑΑ</w:t>
      </w:r>
    </w:p>
    <w:p>
      <w:pPr>
        <w:spacing w:before="240" w:after="240"/>
        <w:rPr>
          <w:lang w:val="el" w:eastAsia="el"/>
        </w:rPr>
      </w:pPr>
      <w:r>
        <w:rPr>
          <w:lang w:val="el" w:eastAsia="el"/>
        </w:rPr>
        <w:t>-Κωδικό πακέτου κάλυψης ασφαλισμένου ωφελούμενου</w:t>
      </w:r>
    </w:p>
    <w:p>
      <w:pPr>
        <w:spacing w:before="240" w:after="240"/>
        <w:rPr>
          <w:lang w:val="el" w:eastAsia="el"/>
        </w:rPr>
      </w:pPr>
      <w:r>
        <w:rPr>
          <w:lang w:val="el" w:eastAsia="el"/>
        </w:rPr>
        <w:t>-χρονολογία γέννησης</w:t>
      </w:r>
    </w:p>
    <w:p>
      <w:pPr>
        <w:spacing w:before="240" w:after="240"/>
        <w:rPr>
          <w:lang w:val="el" w:eastAsia="el"/>
        </w:rPr>
      </w:pPr>
      <w:r>
        <w:rPr>
          <w:lang w:val="el" w:eastAsia="el"/>
        </w:rPr>
        <w:t>-ημερομηνία αναγγελίας τοποθέτησης</w:t>
      </w:r>
    </w:p>
    <w:p>
      <w:pPr>
        <w:spacing w:before="240" w:after="240"/>
        <w:rPr>
          <w:lang w:val="el" w:eastAsia="el"/>
        </w:rPr>
      </w:pPr>
      <w:r>
        <w:rPr>
          <w:lang w:val="el" w:eastAsia="el"/>
        </w:rPr>
        <w:t>-αριθμός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spacing w:before="240" w:after="240"/>
        <w:rPr>
          <w:lang w:val="el" w:eastAsia="el"/>
        </w:rPr>
      </w:pPr>
      <w:r>
        <w:rPr>
          <w:lang w:val="el" w:eastAsia="el"/>
        </w:rPr>
        <w:t>-αριθμός ημερών ασφάλισης</w:t>
      </w:r>
    </w:p>
    <w:p>
      <w:pPr>
        <w:spacing w:before="240" w:after="240"/>
        <w:rPr>
          <w:lang w:val="el" w:eastAsia="el"/>
        </w:rPr>
      </w:pPr>
      <w:r>
        <w:rPr>
          <w:lang w:val="el" w:eastAsia="el"/>
        </w:rPr>
        <w:t>-καθαρά ημερήσια ποσά αμοιβής</w:t>
      </w:r>
    </w:p>
    <w:p>
      <w:pPr>
        <w:spacing w:before="240" w:after="240"/>
        <w:rPr>
          <w:lang w:val="el" w:eastAsia="el"/>
        </w:rPr>
      </w:pPr>
      <w:r>
        <w:rPr>
          <w:lang w:val="el" w:eastAsia="el"/>
        </w:rPr>
        <w:t>-καθαρές μηνιαίες αμοιβές</w:t>
      </w:r>
    </w:p>
    <w:p>
      <w:pPr>
        <w:spacing w:before="240" w:after="240"/>
        <w:rPr>
          <w:lang w:val="el" w:eastAsia="el"/>
        </w:rPr>
      </w:pPr>
      <w:r>
        <w:rPr>
          <w:lang w:val="el" w:eastAsia="el"/>
        </w:rPr>
        <w:t>-μηνιαίες ασφαλιστικές εισφορές ωφελουμένου/ ασφαλισμένου</w:t>
      </w:r>
    </w:p>
    <w:p>
      <w:pPr>
        <w:spacing w:before="240" w:after="240"/>
        <w:rPr>
          <w:lang w:val="el" w:eastAsia="el"/>
        </w:rPr>
      </w:pPr>
      <w:r>
        <w:rPr>
          <w:lang w:val="el" w:eastAsia="el"/>
        </w:rPr>
        <w:t>-μηνιαίες ασφαλιστικές εισφορές επιβλέποντος φορέα</w:t>
      </w:r>
    </w:p>
    <w:p>
      <w:pPr>
        <w:spacing w:before="240" w:after="240"/>
        <w:rPr>
          <w:lang w:val="el" w:eastAsia="el"/>
        </w:rPr>
      </w:pPr>
      <w:r>
        <w:rPr>
          <w:lang w:val="el" w:eastAsia="el"/>
        </w:rPr>
        <w:t>-συνολικές μηνιαίες ασφαλιστικές εισφορές (ωφελουμένου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ωφελουμένων για τον τελευταίο μήνα απασχόλησής τους και των ασφαλιστικών εισφορών στους επιβλέποντες φορείς είναι η συλλογή και καταχώρηση στη σχετική πλατφόρμα των απογραφικών δελτίων (microdata) ΕΞΟΔΟΥ των ωφελούμενων από τον επιβλέποντα φορέα, η οποία θα πιστοποιείται με την προσκόμιση σχετικής Βεβαίωσης καταχώρησης των απογραφικών δελτίων εξόδου και συνημμένης αναλυτικής λίστας αυτών.</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τον ΟΑΕΔ στη Δημόσια Πρόσκληση.</w:t>
      </w:r>
    </w:p>
    <w:p>
      <w:pPr>
        <w:pStyle w:val="MainText"/>
        <w:spacing w:before="120" w:after="0"/>
        <w:rPr>
          <w:lang w:val="el" w:eastAsia="el"/>
        </w:rPr>
      </w:pPr>
      <w:r>
        <w:rPr>
          <w:b/>
          <w:bCs/>
          <w:lang w:val="el" w:eastAsia="el"/>
        </w:rPr>
        <w:t>4.</w:t>
      </w:r>
      <w:r>
        <w:rPr>
          <w:lang w:val="el" w:eastAsia="el"/>
        </w:rPr>
        <w:t xml:space="preserve"> 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παρ.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 Δημόσια Πρόσκληση που καταρτίζει ο ΟΑΕΔ.</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Απουσίες ωφελουμένων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ωφελουμένων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Δημόσιας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τον ΟΑΕΔ σύμφωνα με τους όρους της Δημόσιας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Δεδομένων-ΓΚΠΔ) και τον ν. 4624/2019 (Α' 137)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ωφελουμένων,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ωφελουμένων τους οποίους απασχολεί και τα καταχωρεί στο ΠΣ του δικαιούχου σύμφωνα με τον ΓΚΠΔ και ειδικότερα, όπως προβλέπεται στην παρ. 6 του άρθρου 6 και στην Δημόσια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ωφελουμένους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ωφελουμένους σε περιοχές αρμοδιότητας και σε τομείς δραστηριότητάς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εξοπλισμού-μηχανημάτων και εργαλείων. Ειδικότερα, αναφορικά με τους ωφελουμένους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ωφελουμένου στον τόπο απασχόλησής του, τηρουμένης της αρχής της καλής πίστης.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Έλεγχος και παρακολούθηση του 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 xml:space="preserve">διοικητικές και επιτόπιες επαληθεύσεις που διενεργούνται από τον υπεύθυνο φορέα και από τον δικαιούχο, </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στον Δικαιούχο, στον ΟΑΕΔ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τον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στην υπό στοιχεία 137675/ΕΥΘΥ1016/19.12.2018 υπουργική απόφαση «Αντικατάσταση της υπ’αρ. 110427/ΕΥΘΥ/1020/20.10.2016 (Β’ 3521) υπουργικής απόφασης «Τροποποίηση και αντικατάσταση της υπ’ αρ. 81986/ΕΥΘΥ712/31.7.2015 (ΦΕΚ Β 1822) υπουργικής απόφασης “Εθνικοί κανόνες επιλεξιμότητας δαπανών για τα προγράμματα του ΕΣΠΑ 2014-2020-Έλεγχοι νομιμότητας δημοσίων συμβάσεων συγχρηματοδοτούμενων πράξεων ΕΣΠΑ 2014-2020 από Αρχές Διαχείρισης και Ενδιάμεσους Φορείς-Διαδικασία ενστάσεων επί των αποτελεσμάτων αξιολόγησης πράξεων”» (Β’ 5968).</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κ.λπ.</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 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τον ΟΑΕΔ,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Δημόσιας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 Δημόσια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 σύμφωνα με τον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 καθώς και σε περίπτωση που δεν συλλέγονται νομίμως και εμπροθέσμως στοιχεία αναφορικά με τα απογραφικά δελτία εισόδου-εξόδου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Εργασίας, εντός αποκλειστικής προθεσμίας δέκα (10) εργάσιμων ημερών από την κοινοποίηση της σχετικής απόφασης. Ο Γενικός Γραμματέας Εργασίας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Τήρηση κανόνων πληροφόρησης και 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115-117, ΕΕΕΕ L347 και Παράρτημα ΧΙΙ)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Στις Προσκλήσεις που θα εκδοθούν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Δεκεμβρίου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2.250 14.02.2022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2.250 14.02.2022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3.5711/2023 16.08.2023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3.1164/2023 16.02.2023; Τροποποίηση A.  3.5711/2023 16.08.2023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3.5711/2023 16.08.2023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3.1164/2023 16.02.2023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3.5711/2023 16.08.2023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