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«Τροποποίηση της υπό στοιχεία Α.1179/2021 (Β΄3750) απόφασης.»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Τον ν. 4738/2020 «Ρύθμιση οφειλών και παροχή δεύτερης ευκαιρίας και άλλες διατάξεις» (Α΄ 207) και ειδικότερα το άρθρο 289 του Κεφαλαίου Α΄ του Μέρους Τρίτου του Βιβλίου Πέμπτου αυτού, όπως τροποποιήθηκε διαδοχικά με το άρθρο 75 του ν. 4821/2021 (Α΄ 134) και το άρθρο 109 του ν. 4850/2021 (Α’ 208).</w:t>
      </w:r>
    </w:p>
    <w:p>
      <w:pPr>
        <w:spacing w:before="240" w:after="240"/>
        <w:rPr>
          <w:lang w:val="el" w:eastAsia="el"/>
        </w:rPr>
      </w:pPr>
      <w:r>
        <w:rPr>
          <w:lang w:val="el" w:eastAsia="el"/>
        </w:rPr>
        <w:t xml:space="preserve">2. </w:t>
      </w:r>
      <w:r>
        <w:rPr>
          <w:b/>
          <w:bCs/>
          <w:lang w:val="el" w:eastAsia="el"/>
        </w:rPr>
        <w:t>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w:t>
      </w:r>
      <w:r>
        <w:rPr>
          <w:lang w:val="el" w:eastAsia="el"/>
        </w:rPr>
        <w:t xml:space="preserve">́ </w:t>
      </w:r>
      <w:r>
        <w:rPr>
          <w:b/>
          <w:bCs/>
          <w:lang w:val="el" w:eastAsia="el"/>
        </w:rPr>
        <w:t>55), η οποία κυρώθηκε με το άρθρο 2 του ν. 4682/2020 (Α</w:t>
      </w:r>
      <w:r>
        <w:rPr>
          <w:lang w:val="el" w:eastAsia="el"/>
        </w:rPr>
        <w:t xml:space="preserve">́ </w:t>
      </w:r>
      <w:r>
        <w:rPr>
          <w:b/>
          <w:bCs/>
          <w:lang w:val="el" w:eastAsia="el"/>
        </w:rPr>
        <w:t>76).</w:t>
      </w:r>
    </w:p>
    <w:p>
      <w:pPr>
        <w:spacing w:before="240" w:after="240"/>
        <w:rPr>
          <w:lang w:val="el" w:eastAsia="el"/>
        </w:rPr>
      </w:pPr>
      <w:r>
        <w:rPr>
          <w:lang w:val="el" w:eastAsia="el"/>
        </w:rPr>
        <w:t xml:space="preserve">3. </w:t>
      </w:r>
      <w:r>
        <w:rPr>
          <w:b/>
          <w:bCs/>
          <w:lang w:val="el" w:eastAsia="el"/>
        </w:rPr>
        <w:t>Την από 30-3-2020 Πράξη Νομοθετικού Περιεχομένου «Κατεπείγοντα μέτρα αντιμετώπισης της πανδημίας του κορωνοϊού COVID-19 και άλλες κατεπείγουσες διατάξεις» (Α</w:t>
      </w:r>
      <w:r>
        <w:rPr>
          <w:lang w:val="el" w:eastAsia="el"/>
        </w:rPr>
        <w:t xml:space="preserve">́ </w:t>
      </w:r>
      <w:r>
        <w:rPr>
          <w:b/>
          <w:bCs/>
          <w:lang w:val="el" w:eastAsia="el"/>
        </w:rPr>
        <w:t>75), η οποία κυρώθηκε με το άρθρο 1 του ν. 4684/2020 (Α’ 86).</w:t>
      </w:r>
    </w:p>
    <w:p>
      <w:pPr>
        <w:spacing w:before="240" w:after="240"/>
        <w:rPr>
          <w:lang w:val="el" w:eastAsia="el"/>
        </w:rPr>
      </w:pPr>
      <w:r>
        <w:rPr>
          <w:lang w:val="el" w:eastAsia="el"/>
        </w:rPr>
        <w:t xml:space="preserve">4. </w:t>
      </w:r>
      <w:r>
        <w:rPr>
          <w:b/>
          <w:bCs/>
          <w:lang w:val="el" w:eastAsia="el"/>
        </w:rPr>
        <w:t>Την από 1-5-2020 Πράξη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w:t>
      </w:r>
      <w:r>
        <w:rPr>
          <w:lang w:val="el" w:eastAsia="el"/>
        </w:rPr>
        <w:t xml:space="preserve">́ </w:t>
      </w:r>
      <w:r>
        <w:rPr>
          <w:b/>
          <w:bCs/>
          <w:lang w:val="el" w:eastAsia="el"/>
        </w:rPr>
        <w:t>90), η οποία κυρώθηκε με το άρθρο 2 του ν. 4690/2020 (Α ’104).</w:t>
      </w:r>
    </w:p>
    <w:p>
      <w:pPr>
        <w:spacing w:before="240" w:after="240"/>
        <w:rPr>
          <w:lang w:val="el" w:eastAsia="el"/>
        </w:rPr>
      </w:pPr>
      <w:r>
        <w:rPr>
          <w:lang w:val="el" w:eastAsia="el"/>
        </w:rPr>
        <w:t xml:space="preserve">5. </w:t>
      </w:r>
      <w:r>
        <w:rPr>
          <w:b/>
          <w:bCs/>
          <w:lang w:val="el" w:eastAsia="el"/>
        </w:rPr>
        <w:t xml:space="preserve">Τον ν.4690/2020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w:t>
      </w:r>
      <w:r>
        <w:rPr>
          <w:lang w:val="el" w:eastAsia="el"/>
        </w:rPr>
        <w:t xml:space="preserve">́ </w:t>
      </w:r>
      <w:r>
        <w:rPr>
          <w:b/>
          <w:bCs/>
          <w:lang w:val="el" w:eastAsia="el"/>
        </w:rPr>
        <w:t>90) και άλλες διατάξεις» (Α΄104).</w:t>
      </w:r>
    </w:p>
    <w:p>
      <w:pPr>
        <w:spacing w:before="240" w:after="240"/>
        <w:rPr>
          <w:lang w:val="el" w:eastAsia="el"/>
        </w:rPr>
      </w:pPr>
      <w:r>
        <w:rPr>
          <w:lang w:val="el" w:eastAsia="el"/>
        </w:rPr>
        <w:t xml:space="preserve">6. </w:t>
      </w:r>
      <w:r>
        <w:rPr>
          <w:b/>
          <w:bCs/>
          <w:lang w:val="el" w:eastAsia="el"/>
        </w:rPr>
        <w:t>Τον ν. 4174/2013 «Φορολογικές διαδικασίες και άλλες διατάξεις» (Α</w:t>
      </w:r>
      <w:r>
        <w:rPr>
          <w:lang w:val="el" w:eastAsia="el"/>
        </w:rPr>
        <w:t xml:space="preserve">́ </w:t>
      </w:r>
      <w:r>
        <w:rPr>
          <w:b/>
          <w:bCs/>
          <w:lang w:val="el" w:eastAsia="el"/>
        </w:rPr>
        <w:t>170) (Κ.Φ.Δ.).</w:t>
      </w:r>
    </w:p>
    <w:p>
      <w:pPr>
        <w:spacing w:before="240" w:after="240"/>
        <w:rPr>
          <w:lang w:val="el" w:eastAsia="el"/>
        </w:rPr>
      </w:pPr>
      <w:r>
        <w:rPr>
          <w:lang w:val="el" w:eastAsia="el"/>
        </w:rPr>
        <w:t xml:space="preserve">7. </w:t>
      </w:r>
      <w:r>
        <w:rPr>
          <w:b/>
          <w:bCs/>
          <w:lang w:val="el" w:eastAsia="el"/>
        </w:rPr>
        <w:t xml:space="preserve">Το ν.δ. 356/1974 «Περί Κώδικος Εισπράξεως Δημοσίων Εσόδων» (Α </w:t>
      </w:r>
      <w:r>
        <w:rPr>
          <w:lang w:val="el" w:eastAsia="el"/>
        </w:rPr>
        <w:t xml:space="preserve">́ </w:t>
      </w:r>
      <w:r>
        <w:rPr>
          <w:b/>
          <w:bCs/>
          <w:lang w:val="el" w:eastAsia="el"/>
        </w:rPr>
        <w:t>90) (Κ.Ε.Δ.Ε.).</w:t>
      </w:r>
    </w:p>
    <w:p>
      <w:pPr>
        <w:spacing w:before="240" w:after="240"/>
        <w:rPr>
          <w:lang w:val="el" w:eastAsia="el"/>
        </w:rPr>
      </w:pPr>
      <w:r>
        <w:rPr>
          <w:lang w:val="el" w:eastAsia="el"/>
        </w:rPr>
        <w:t xml:space="preserve">8. </w:t>
      </w:r>
      <w:r>
        <w:rPr>
          <w:b/>
          <w:bCs/>
          <w:lang w:val="el" w:eastAsia="el"/>
        </w:rPr>
        <w:t>Το π.δ. 142/2017 «Οργανισμός Υπουργείου Οικονομικών» (Α</w:t>
      </w:r>
      <w:r>
        <w:rPr>
          <w:lang w:val="el" w:eastAsia="el"/>
        </w:rPr>
        <w:t xml:space="preserve">́ </w:t>
      </w:r>
      <w:r>
        <w:rPr>
          <w:b/>
          <w:bCs/>
          <w:lang w:val="el" w:eastAsia="el"/>
        </w:rPr>
        <w:t>181).</w:t>
      </w:r>
    </w:p>
    <w:p>
      <w:pPr>
        <w:spacing w:before="240" w:after="240"/>
        <w:rPr>
          <w:lang w:val="el" w:eastAsia="el"/>
        </w:rPr>
      </w:pPr>
      <w:r>
        <w:rPr>
          <w:lang w:val="el" w:eastAsia="el"/>
        </w:rPr>
        <w:t xml:space="preserve">9.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w:t>
      </w:r>
      <w:r>
        <w:rPr>
          <w:lang w:val="el" w:eastAsia="el"/>
        </w:rPr>
        <w:t xml:space="preserve">́ </w:t>
      </w:r>
      <w:r>
        <w:rPr>
          <w:b/>
          <w:bCs/>
          <w:lang w:val="el" w:eastAsia="el"/>
        </w:rPr>
        <w:t>6).</w:t>
      </w:r>
    </w:p>
    <w:p>
      <w:pPr>
        <w:spacing w:before="240" w:after="240"/>
        <w:rPr>
          <w:lang w:val="el" w:eastAsia="el"/>
        </w:rPr>
      </w:pPr>
      <w:r>
        <w:rPr>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(Α.Α.Δ.Ε.) «Οργανισμός της Ανεξάρτητης Αρχής Δημοσίων Εσόδων (Α.Α.Δ.Ε.)» (Β</w:t>
      </w:r>
      <w:r>
        <w:rPr>
          <w:lang w:val="el" w:eastAsia="el"/>
        </w:rPr>
        <w:t xml:space="preserve">́ </w:t>
      </w:r>
      <w:r>
        <w:rPr>
          <w:b/>
          <w:bCs/>
          <w:lang w:val="el" w:eastAsia="el"/>
        </w:rPr>
        <w:t>4738).</w:t>
      </w:r>
    </w:p>
    <w:p>
      <w:pPr>
        <w:spacing w:before="240" w:after="240"/>
        <w:rPr>
          <w:lang w:val="el" w:eastAsia="el"/>
        </w:rPr>
      </w:pPr>
      <w:r>
        <w:rPr>
          <w:lang w:val="el" w:eastAsia="el"/>
        </w:rPr>
        <w:t xml:space="preserve">11. </w:t>
      </w:r>
      <w:r>
        <w:rPr>
          <w:b/>
          <w:bCs/>
          <w:lang w:val="el" w:eastAsia="el"/>
        </w:rPr>
        <w:t>Το π.δ. 83/2019 «Διορισμός Αντιπροέδρου της Κυβέρνησης, Υπουργών, Αναπληρωτών Υπουργών και Υφυπουργών» (Α</w:t>
      </w:r>
      <w:r>
        <w:rPr>
          <w:lang w:val="el" w:eastAsia="el"/>
        </w:rPr>
        <w:t xml:space="preserve">́ </w:t>
      </w:r>
      <w:r>
        <w:rPr>
          <w:b/>
          <w:bCs/>
          <w:lang w:val="el" w:eastAsia="el"/>
        </w:rPr>
        <w:t>121).</w:t>
      </w:r>
    </w:p>
    <w:p>
      <w:pPr>
        <w:spacing w:before="240" w:after="240"/>
        <w:rPr>
          <w:lang w:val="el" w:eastAsia="el"/>
        </w:rPr>
      </w:pPr>
      <w:r>
        <w:rPr>
          <w:lang w:val="el" w:eastAsia="el"/>
        </w:rPr>
        <w:t xml:space="preserve">12. </w:t>
      </w:r>
      <w:r>
        <w:rPr>
          <w:b/>
          <w:bCs/>
          <w:lang w:val="el" w:eastAsia="el"/>
        </w:rPr>
        <w:t>Την υπό στοιχεία Υ2/9-7-2019 απόφαση του Πρωθυπουργού «Σύσταση Θέσεων Αναπληρωτή Υπουργού και Υφυπουργών» (Β</w:t>
      </w:r>
      <w:r>
        <w:rPr>
          <w:lang w:val="el" w:eastAsia="el"/>
        </w:rPr>
        <w:t xml:space="preserve">́ </w:t>
      </w:r>
      <w:r>
        <w:rPr>
          <w:b/>
          <w:bCs/>
          <w:lang w:val="el" w:eastAsia="el"/>
        </w:rPr>
        <w:t>2901).</w:t>
      </w:r>
    </w:p>
    <w:p>
      <w:pPr>
        <w:spacing w:before="240" w:after="240"/>
        <w:rPr>
          <w:lang w:val="el" w:eastAsia="el"/>
        </w:rPr>
      </w:pPr>
      <w:r>
        <w:rPr>
          <w:lang w:val="el" w:eastAsia="el"/>
        </w:rPr>
        <w:t xml:space="preserve">13.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w:t>
      </w:r>
      <w:r>
        <w:rPr>
          <w:lang w:val="el" w:eastAsia="el"/>
        </w:rPr>
        <w:t xml:space="preserve">́ </w:t>
      </w:r>
      <w:r>
        <w:rPr>
          <w:b/>
          <w:bCs/>
          <w:lang w:val="el" w:eastAsia="el"/>
        </w:rPr>
        <w:t>3051).</w:t>
      </w:r>
    </w:p>
    <w:p>
      <w:pPr>
        <w:spacing w:before="240" w:after="240"/>
        <w:rPr>
          <w:lang w:val="el" w:eastAsia="el"/>
        </w:rPr>
      </w:pPr>
      <w:r>
        <w:rPr>
          <w:lang w:val="el" w:eastAsia="el"/>
        </w:rPr>
        <w:t xml:space="preserve">14. </w:t>
      </w:r>
      <w:r>
        <w:rPr>
          <w:b/>
          <w:bCs/>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w:t>
      </w:r>
      <w:r>
        <w:rPr>
          <w:lang w:val="el" w:eastAsia="el"/>
        </w:rPr>
        <w:t xml:space="preserve">́ </w:t>
      </w:r>
      <w:r>
        <w:rPr>
          <w:b/>
          <w:bCs/>
          <w:lang w:val="el" w:eastAsia="el"/>
        </w:rPr>
        <w:t>94), ιδίως το άρθρο 41 αυτού.</w:t>
      </w:r>
    </w:p>
    <w:p>
      <w:pPr>
        <w:spacing w:before="240" w:after="240"/>
        <w:rPr>
          <w:lang w:val="el" w:eastAsia="el"/>
        </w:rPr>
      </w:pPr>
      <w:r>
        <w:rPr>
          <w:lang w:val="el" w:eastAsia="el"/>
        </w:rPr>
        <w:t xml:space="preserve">15.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16. </w:t>
      </w:r>
      <w:r>
        <w:rPr>
          <w:b/>
          <w:bCs/>
          <w:lang w:val="el" w:eastAsia="el"/>
        </w:rPr>
        <w:t>Την υπό στοιχεία Α. 1179 / 2021 (Β’ 3750) απόφαση Υπουργού Οικονομικών.</w:t>
      </w:r>
    </w:p>
    <w:p>
      <w:pPr>
        <w:spacing w:before="240" w:after="240"/>
        <w:rPr>
          <w:lang w:val="el" w:eastAsia="el"/>
        </w:rPr>
      </w:pPr>
      <w:r>
        <w:rPr>
          <w:lang w:val="el" w:eastAsia="el"/>
        </w:rPr>
        <w:t xml:space="preserve">17. </w:t>
      </w:r>
      <w:r>
        <w:rPr>
          <w:b/>
          <w:bCs/>
          <w:lang w:val="el" w:eastAsia="el"/>
        </w:rPr>
        <w:t>Την ανάγκη προσαρμογής της προθεσμίας υποβολής της αίτησης για την υπαγωγή στη ρύθμιση σύμφωνα με το άρθρο 289 του ν.4738/2020, όπως τροποποιήθηκε διαδοχικά με το άρθρο 75 του ν. 4821/2021 (Α΄134) και το άρθρο 109 του ν. 4850/2021 (Α΄ 208).</w:t>
      </w:r>
    </w:p>
    <w:p>
      <w:pPr>
        <w:spacing w:before="240" w:after="240"/>
        <w:rPr>
          <w:lang w:val="el" w:eastAsia="el"/>
        </w:rPr>
      </w:pPr>
      <w:r>
        <w:rPr>
          <w:lang w:val="el" w:eastAsia="el"/>
        </w:rPr>
        <w:t xml:space="preserve">18. </w:t>
      </w:r>
      <w:r>
        <w:rPr>
          <w:b/>
          <w:bCs/>
          <w:lang w:val="el" w:eastAsia="el"/>
        </w:rPr>
        <w:t>Την από 17/12 /2021 εισήγηση του Διοικητή της Ανεξάρτητης Αρχής Δημοσίων Εσόδων (Α.Α.Δ.Ε.).</w:t>
      </w:r>
    </w:p>
    <w:p>
      <w:pPr>
        <w:spacing w:before="240" w:after="240"/>
        <w:rPr>
          <w:lang w:val="el" w:eastAsia="el"/>
        </w:rPr>
      </w:pPr>
      <w:r>
        <w:rPr>
          <w:lang w:val="el" w:eastAsia="el"/>
        </w:rPr>
        <w:t xml:space="preserve">19.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Στην πρώτη παρ. του άρθρου 1 της υπό στοιχεία Α. 1179/2021 (Β’ 3750) απόφασης Υπουργού Οικονομικών «Καθορισμός προθεσμίας υποβολής των αιτήσεων για την υπαγωγή στη ρύθμιση των διατάξεων του άρθρου 75 του ν. 4821/2021 (Α΄ 134), το οποίο αντικατέστησε το άρθρο 289 του ν. 4738/2020 (Α΄ 207), καθώς και ειδικών θεμάτων και λεπτομερειών εφαρμογής της» (Β΄3750), η ημερομηνία «31.12.2021» αντικαθίσταται από την ημερομηνία «26.01.2022».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Αποδέκτες πίνακα Α, Β, Ε, ΣΤ, Ζ, Η, Θ (εκτός από το Εθνικό Τυπογραφείο), Ι, ΙΒ, ΙΔ, ΙΕ, ΙΣΤ</w:t>
      </w:r>
    </w:p>
    <w:p>
      <w:pPr>
        <w:spacing w:before="240" w:after="240"/>
        <w:rPr>
          <w:lang w:val="el" w:eastAsia="el"/>
        </w:rPr>
      </w:pPr>
      <w:r>
        <w:rPr>
          <w:lang w:val="el" w:eastAsia="el"/>
        </w:rPr>
        <w:t xml:space="preserve">4.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5. </w:t>
      </w:r>
      <w:r>
        <w:rPr>
          <w:b/>
          <w:bCs/>
          <w:lang w:val="el" w:eastAsia="el"/>
        </w:rPr>
        <w:t>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Εισπράξεων και Επιστροφών- Τμήματα Α, Β, Γ, Δ, Ε, Γραμματεία</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