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sz w:val="30"/>
          <w:szCs w:val="30"/>
          <w:vertAlign w:val="subscript"/>
          <w:lang w:val="el" w:eastAsia="el"/>
        </w:rPr>
        <w:t>■</w:t>
      </w:r>
    </w:p>
    <w:p>
      <w:pPr>
        <w:pStyle w:val="Title"/>
        <w:spacing w:before="120" w:after="360"/>
        <w:rPr>
          <w:lang w:val="el" w:eastAsia="el"/>
        </w:rPr>
      </w:pPr>
      <w:r>
        <w:rPr>
          <w:b/>
          <w:bCs/>
          <w:lang w:val="el" w:eastAsia="el"/>
        </w:rPr>
        <w:t>ΛΑΔΕ</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b/>
          <w:bCs/>
          <w:lang w:val="el" w:eastAsia="el"/>
        </w:rPr>
        <w:t>■■ ■ biνι■ τι ■ **·κ·^· ^^ ■ ιν^ι ■ lbΚΩΝΕΙΩΝ ΚΑΙ</w:t>
      </w:r>
    </w:p>
    <w:p>
      <w:pPr>
        <w:pStyle w:val="PreambelText"/>
        <w:spacing w:before="240" w:after="240"/>
        <w:rPr>
          <w:lang w:val="el" w:eastAsia="el"/>
        </w:rPr>
      </w:pPr>
      <w:r>
        <w:rPr>
          <w:b/>
          <w:bCs/>
          <w:lang w:val="el" w:eastAsia="el"/>
        </w:rPr>
        <w:t>ΕΦΚ</w:t>
      </w:r>
    </w:p>
    <w:p>
      <w:pPr>
        <w:pStyle w:val="PreambelText"/>
        <w:spacing w:before="240" w:after="240"/>
        <w:rPr>
          <w:lang w:val="el" w:eastAsia="el"/>
        </w:rPr>
      </w:pPr>
      <w:r>
        <w:rPr>
          <w:lang w:val="el" w:eastAsia="el"/>
        </w:rPr>
        <w:t xml:space="preserve">1 </w:t>
      </w:r>
      <w:r>
        <w:rPr>
          <w:b/>
          <w:bCs/>
          <w:lang w:val="el" w:eastAsia="el"/>
        </w:rPr>
        <w:t>.ΔΙΕΥΘΥΝΣΗ ΕΙΔΙΚΩΝ ΦΟΡΩΝ ΚΑΤΑΝΑΛΩΣΗΣ ΚΑΙ ΦΠΑ</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ΦΟΡΟΛΟΓΙΑΣ ΑΛΚΟΟΛΟΥΧΩΝ ΠΡΟΪΟΝΤΩΝ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3"/>
        <w:gridCol w:w="29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10184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Ε.Κερασιώτη,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Δ.Σελεμέκος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 6987 414, 416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finexcis@aade.gr</w:t>
              </w:r>
            </w:hyperlink>
          </w:p>
        </w:tc>
      </w:tr>
    </w:tbl>
    <w:p>
      <w:pPr>
        <w:spacing w:before="240" w:after="240"/>
        <w:rPr>
          <w:lang w:val="el" w:eastAsia="el"/>
        </w:rPr>
      </w:pPr>
      <w:r>
        <w:rPr>
          <w:b/>
          <w:bCs/>
          <w:lang w:val="el" w:eastAsia="el"/>
        </w:rPr>
        <w:t>ΠΡΟΣ Ως πίνακα διανομής</w:t>
      </w:r>
    </w:p>
    <w:p>
      <w:pPr>
        <w:spacing w:before="240" w:after="240"/>
        <w:rPr>
          <w:lang w:val="el" w:eastAsia="el"/>
        </w:rPr>
      </w:pPr>
      <w:r>
        <w:rPr>
          <w:lang w:val="el" w:eastAsia="el"/>
        </w:rPr>
        <w:t xml:space="preserve">2 </w:t>
      </w:r>
      <w:r>
        <w:rPr>
          <w:b/>
          <w:bCs/>
          <w:lang w:val="el" w:eastAsia="el"/>
        </w:rPr>
        <w:t>.ΔΙΕΥΘΥΝΣΗ ΣΤΡΑΤΗΓΙΚΗΣ ΤΕΛΩΝΕΙΑΚΩΝ ΕΛΕΓΧΩΝ ΚΑΙ ΠΑΡΑΒΑΣΕΩΝ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10184 Αθήνα</w:t>
      </w:r>
    </w:p>
    <w:p>
      <w:pPr>
        <w:spacing w:before="240" w:after="240"/>
        <w:rPr>
          <w:lang w:val="el" w:eastAsia="el"/>
        </w:rPr>
      </w:pPr>
      <w:r>
        <w:rPr>
          <w:b/>
          <w:bCs/>
          <w:lang w:val="el" w:eastAsia="el"/>
        </w:rPr>
        <w:t>Πληροφορίες :</w:t>
      </w:r>
    </w:p>
    <w:p>
      <w:pPr>
        <w:spacing w:before="240" w:after="240"/>
        <w:rPr>
          <w:lang w:val="el" w:eastAsia="el"/>
        </w:rPr>
      </w:pPr>
      <w:r>
        <w:rPr>
          <w:b/>
          <w:bCs/>
          <w:lang w:val="el" w:eastAsia="el"/>
        </w:rPr>
        <w:t>Τηλέφωνο :</w:t>
      </w:r>
    </w:p>
    <w:p>
      <w:pPr>
        <w:spacing w:before="240" w:after="240"/>
        <w:rPr>
          <w:lang w:val="el" w:eastAsia="el"/>
        </w:rPr>
      </w:pPr>
      <w:r>
        <w:rPr>
          <w:b/>
          <w:bCs/>
          <w:lang w:val="el" w:eastAsia="el"/>
        </w:rPr>
        <w:t>E-Mail :</w:t>
      </w:r>
      <w:hyperlink r:id="rId5" w:history="1">
        <w:r>
          <w:rPr>
            <w:rStyle w:val="Hyperlink"/>
            <w:b/>
            <w:bCs/>
            <w:color w:val="0000EE"/>
            <w:u w:color="0000EE"/>
            <w:lang w:val="el" w:eastAsia="el"/>
          </w:rPr>
          <w:t>dstepdrugs@ aade.gr</w:t>
        </w:r>
      </w:hyperlink>
    </w:p>
    <w:p>
      <w:pPr>
        <w:spacing w:before="240" w:after="240"/>
        <w:rPr>
          <w:lang w:val="el" w:eastAsia="el"/>
        </w:rPr>
      </w:pPr>
      <w:r>
        <w:rPr>
          <w:b/>
          <w:bCs/>
          <w:lang w:val="el" w:eastAsia="el"/>
        </w:rPr>
        <w:t>ΙΙ. ΓΕΝΙΚΗ ΔΙΕΥΘΥΝΣΗ ΓΕΝΙΚΟΥ ΧΗΜΕΙΟΥ ΤΟΥ ΚΡΑΤΟΥΣ</w:t>
      </w:r>
    </w:p>
    <w:p>
      <w:pPr>
        <w:spacing w:before="240" w:after="240"/>
        <w:rPr>
          <w:lang w:val="el" w:eastAsia="el"/>
        </w:rPr>
      </w:pPr>
      <w:r>
        <w:rPr>
          <w:b/>
          <w:bCs/>
          <w:lang w:val="el" w:eastAsia="el"/>
        </w:rPr>
        <w:t>Δ/ΝΣΗ ΑΛΚΟΟΛΗΣ &amp; ΤΡΟΦΙΜΩΝ</w:t>
      </w:r>
    </w:p>
    <w:p>
      <w:pPr>
        <w:pStyle w:val="Heading1"/>
        <w:spacing w:before="240" w:after="240"/>
        <w:rPr>
          <w:lang w:val="el" w:eastAsia="el"/>
        </w:rPr>
      </w:pPr>
      <w:r>
        <w:rPr>
          <w:rStyle w:val="hierarchy-num"/>
          <w:b/>
          <w:bCs/>
          <w:lang w:val="el" w:eastAsia="el"/>
        </w:rPr>
        <w:t>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0"/>
        <w:gridCol w:w="26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 Τσόχα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Ταχ.Κώδικ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115 21-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Σ. Καραγιάννης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 6479231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6" w:history="1">
              <w:r>
                <w:rPr>
                  <w:rStyle w:val="Hyperlink"/>
                  <w:b/>
                  <w:bCs/>
                  <w:i w:val="0"/>
                  <w:iCs w:val="0"/>
                  <w:smallCaps w:val="0"/>
                  <w:color w:val="0000EE"/>
                  <w:u w:color="0000EE"/>
                  <w:lang w:val="el" w:eastAsia="el"/>
                </w:rPr>
                <w:t>dat.gcsl@aade.gr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7"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IIΙ. ΓΕΝΙΚΗ ΔΙΕΥΘΥΝΣΗ ΗΛΕΚΤΡΟΝΙΚΗΣ ΔΙΑΚΥΒΕΡΝΗΣΗΣ</w:t>
      </w:r>
    </w:p>
    <w:p>
      <w:pPr>
        <w:spacing w:before="240" w:after="240"/>
        <w:rPr>
          <w:lang w:val="el" w:eastAsia="el"/>
        </w:rPr>
      </w:pPr>
      <w:r>
        <w:rPr>
          <w:b/>
          <w:bCs/>
          <w:lang w:val="el" w:eastAsia="el"/>
        </w:rPr>
        <w:t xml:space="preserve">1) </w:t>
      </w:r>
      <w:r>
        <w:rPr>
          <w:b/>
          <w:bCs/>
          <w:lang w:val="el" w:eastAsia="el"/>
        </w:rPr>
        <w:t>ΔΙΕΥΘΥΝΣΗ ΑΝΑΠΤΥΞΗΣ ΤΕΛΩΝΕΙΑΚΩΝ, ΕΛΕΓΚΤΙΚΩΝ ΚΑΙ ΕΠΙΧΕΙΡΗΣΙΑΚΩΝ ΕΦΑΡΜΟΓΩΝ (Δ.Α.Τ.Ε.)</w:t>
      </w:r>
    </w:p>
    <w:p>
      <w:pPr>
        <w:spacing w:before="240" w:after="240"/>
        <w:rPr>
          <w:lang w:val="el" w:eastAsia="el"/>
        </w:rPr>
      </w:pPr>
      <w:r>
        <w:rPr>
          <w:b/>
          <w:bCs/>
          <w:lang w:val="el" w:eastAsia="el"/>
        </w:rPr>
        <w:t>ΥΠΟΔΙΕΥΘΥΝΣΗ ΑΝΑΠΤΥΞΗΣ ΤΕΛΩΝΕΙΑΚΩΝ ΕΦΑΡΜΟΓΩΝ Τμήμα Α΄- Εφαρμογών Τελωνειακών Διαδικασιών</w:t>
      </w:r>
    </w:p>
    <w:p>
      <w:pPr>
        <w:spacing w:before="240" w:after="240"/>
        <w:rPr>
          <w:lang w:val="el" w:eastAsia="el"/>
        </w:rPr>
      </w:pPr>
      <w:r>
        <w:rPr>
          <w:b/>
          <w:bCs/>
          <w:lang w:val="el" w:eastAsia="el"/>
        </w:rPr>
        <w:t>ΔΙΕΥΘΥΝΣΗ ΕΠΙΧΕΙΡΗΣΙΑΚΩΝ ΔΙΑΔΙΚΑΣΙΩΝ ΥΠΟΔΙΕΥΘΥΝΣΗ Β’ ΑΠΑΙΤΗΣΕΩΝ &amp; ΕΛΕΓΧΟΥ ΕΦΑΡΜΟΓΩΝ ΤΕΛΩΝΕΙΩΝ Τμήμα Η΄-Απαιτήσεων και Ελέγχου Εφαρμογών ΕΦΚ &amp; Ταμειακής Διαχείρισης</w:t>
      </w:r>
    </w:p>
    <w:p>
      <w:pPr>
        <w:spacing w:before="240" w:after="240"/>
        <w:rPr>
          <w:lang w:val="el" w:eastAsia="el"/>
        </w:rPr>
      </w:pPr>
      <w:r>
        <w:rPr>
          <w:b/>
          <w:bCs/>
          <w:lang w:val="el" w:eastAsia="el"/>
        </w:rPr>
        <w:t>Πειραιώς 72</w:t>
      </w:r>
    </w:p>
    <w:p>
      <w:pPr>
        <w:spacing w:before="240" w:after="240"/>
        <w:rPr>
          <w:lang w:val="el" w:eastAsia="el"/>
        </w:rPr>
      </w:pPr>
      <w:r>
        <w:rPr>
          <w:b/>
          <w:bCs/>
          <w:lang w:val="el" w:eastAsia="el"/>
        </w:rPr>
        <w:t>18346,Μοσχάτο</w:t>
      </w:r>
    </w:p>
    <w:p>
      <w:pPr>
        <w:spacing w:before="240" w:after="240"/>
        <w:rPr>
          <w:lang w:val="el" w:eastAsia="el"/>
        </w:rPr>
      </w:pPr>
      <w:r>
        <w:rPr>
          <w:b/>
          <w:bCs/>
          <w:lang w:val="el" w:eastAsia="el"/>
        </w:rPr>
        <w:t>Μ. Σύλλα, Α. Αρβανίτη</w:t>
      </w:r>
    </w:p>
    <w:p>
      <w:pPr>
        <w:spacing w:before="240" w:after="240"/>
        <w:rPr>
          <w:lang w:val="el" w:eastAsia="el"/>
        </w:rPr>
      </w:pPr>
      <w:r>
        <w:rPr>
          <w:b/>
          <w:bCs/>
          <w:lang w:val="el" w:eastAsia="el"/>
        </w:rPr>
        <w:t>213 135 6752/6736</w:t>
      </w:r>
    </w:p>
    <w:p>
      <w:pPr>
        <w:spacing w:before="240" w:after="240"/>
        <w:rPr>
          <w:lang w:val="el" w:eastAsia="el"/>
        </w:rPr>
      </w:pPr>
      <w:r>
        <w:rPr>
          <w:b/>
          <w:bCs/>
          <w:lang w:val="el" w:eastAsia="el"/>
        </w:rPr>
        <w:t>Θέμα: «Τήρηση Ηλεκτρονικού Μητρώου Επιτηδευματιών Αλκοολούχων Ποτών και εφαρμογή Ηλεκτρονικού Συστήματος Ταυτοποίησης Αλκοολούχων Ποτών»».</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ΚΑΙ Ο ΔΙΟΙΚΗΤΗΣ ΤΗΣ ΑΝΕΞAΡΤΗΤΗΣ ΑΡΧΗΣ ΔΗΜΟΣΙΩΝ ΕΣΟΔΩΝ (ΑΑΔΕ)</w:t>
      </w:r>
    </w:p>
    <w:p>
      <w:pPr>
        <w:spacing w:before="240" w:after="240"/>
        <w:rPr>
          <w:lang w:val="el" w:eastAsia="el"/>
        </w:rPr>
      </w:pPr>
      <w:r>
        <w:rPr>
          <w:b/>
          <w:bCs/>
          <w:lang w:val="el" w:eastAsia="el"/>
        </w:rPr>
        <w:t>Έχοντας υπόψη :</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άρθρων 79 έως και 92, 93Α και 93B του «Εθνικού Τελωνειακού Κώδικα» (ν.2960/2001, Α΄265).</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w:t>
      </w:r>
      <w:r>
        <w:rPr>
          <w:b/>
          <w:bCs/>
          <w:i/>
          <w:iCs/>
          <w:lang w:val="el" w:eastAsia="el"/>
        </w:rPr>
        <w:t>Σύσταση Ανεξάρτητης Αρχής Δημοσίων Εσόδων</w:t>
      </w:r>
      <w:r>
        <w:rPr>
          <w:b/>
          <w:bCs/>
          <w:lang w:val="el" w:eastAsia="el"/>
        </w:rPr>
        <w:t>»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(Α΄133).</w:t>
      </w:r>
    </w:p>
    <w:p>
      <w:pPr>
        <w:spacing w:before="240" w:after="240"/>
        <w:rPr>
          <w:lang w:val="el" w:eastAsia="el"/>
        </w:rPr>
      </w:pPr>
      <w:r>
        <w:rPr>
          <w:b/>
          <w:bCs/>
          <w:lang w:val="el" w:eastAsia="el"/>
        </w:rPr>
        <w:t xml:space="preserve">2. </w:t>
      </w:r>
      <w:r>
        <w:rPr>
          <w:b/>
          <w:bCs/>
          <w:lang w:val="el" w:eastAsia="el"/>
        </w:rPr>
        <w:t>Την υπ’ αρ. Δ.ΟΡΓ.Α 1125859 ΕΞ 2020/23-10-2020 απόφαση του Διοικητή της Ανεξάρτητης Αρχής Δημοσίων Εσόδων «</w:t>
      </w:r>
      <w:r>
        <w:rPr>
          <w:b/>
          <w:bCs/>
          <w:i/>
          <w:iCs/>
          <w:lang w:val="el" w:eastAsia="el"/>
        </w:rPr>
        <w:t>Οργανισμός της Ανεξάρτητης Αρχής Δημοσίων Εσόδων (Α.Α.Δ.Ε)</w:t>
      </w:r>
      <w:r>
        <w:rPr>
          <w:b/>
          <w:bCs/>
          <w:lang w:val="el" w:eastAsia="el"/>
        </w:rPr>
        <w:t>» (Β’ 4738).</w:t>
      </w:r>
    </w:p>
    <w:p>
      <w:pPr>
        <w:spacing w:before="240" w:after="240"/>
        <w:rPr>
          <w:lang w:val="el" w:eastAsia="el"/>
        </w:rPr>
      </w:pPr>
      <w:r>
        <w:rPr>
          <w:b/>
          <w:bCs/>
          <w:lang w:val="el" w:eastAsia="el"/>
        </w:rPr>
        <w:t xml:space="preserve">3. </w:t>
      </w:r>
      <w:r>
        <w:rPr>
          <w:b/>
          <w:bCs/>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την υπ’ αρ. 39/3/30-11-2017 απόφαση του Συμβουλίου Διοίκησης της Α.Α.Δ.Ε. «Ανανέωση θητείας του Διοικητή της Ανεξάρτητης Αρχής Δημοσίων Εσόδων» (Υ.Ο.Δ.Δ. 689), καθώς και την υπ’ αρ. 5294 ΕΞ2020/17-01-2020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 xml:space="preserve">4. </w:t>
      </w:r>
      <w:r>
        <w:rPr>
          <w:b/>
          <w:bCs/>
          <w:lang w:val="el" w:eastAsia="el"/>
        </w:rPr>
        <w:t>Το π.δ. 83/2019 «Διορισμός Αντιπροέδρου της Κυβέρνησης, Υπουργών, Αναπληρωτών Υπουργών και Υφυπουργών» (Α΄121 και Α΄126 για διόρθωση σφάλματος).</w:t>
      </w:r>
    </w:p>
    <w:p>
      <w:pPr>
        <w:spacing w:before="240" w:after="240"/>
        <w:rPr>
          <w:lang w:val="el" w:eastAsia="el"/>
        </w:rPr>
      </w:pPr>
      <w:r>
        <w:rPr>
          <w:b/>
          <w:bCs/>
          <w:lang w:val="el" w:eastAsia="el"/>
        </w:rPr>
        <w:t xml:space="preserve">5. </w:t>
      </w:r>
      <w:r>
        <w:rPr>
          <w:b/>
          <w:bCs/>
          <w:lang w:val="el" w:eastAsia="el"/>
        </w:rPr>
        <w:t>Το π.δ. 142/2017 «Οργανισμός Υπουργείου Οικονομικών» (Α΄ 181).</w:t>
      </w:r>
    </w:p>
    <w:p>
      <w:pPr>
        <w:spacing w:before="240" w:after="240"/>
        <w:rPr>
          <w:lang w:val="el" w:eastAsia="el"/>
        </w:rPr>
      </w:pPr>
      <w:r>
        <w:rPr>
          <w:b/>
          <w:bCs/>
          <w:lang w:val="el" w:eastAsia="el"/>
        </w:rPr>
        <w:t xml:space="preserve">6. </w:t>
      </w:r>
      <w:r>
        <w:rPr>
          <w:b/>
          <w:bCs/>
          <w:lang w:val="el" w:eastAsia="el"/>
        </w:rPr>
        <w:t>Την υπό στοιχεία Υ2/09-07-2019 απόφαση του Πρωθυπουργού «Σύσταση θέσεων Αναπληρωτή Υπουργού και Υφυπουργών» (Β΄2901).</w:t>
      </w:r>
    </w:p>
    <w:p>
      <w:pPr>
        <w:spacing w:before="240" w:after="240"/>
        <w:rPr>
          <w:lang w:val="el" w:eastAsia="el"/>
        </w:rPr>
      </w:pPr>
      <w:r>
        <w:rPr>
          <w:b/>
          <w:bCs/>
          <w:lang w:val="el" w:eastAsia="el"/>
        </w:rPr>
        <w:t xml:space="preserve">7.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b/>
          <w:bCs/>
          <w:lang w:val="el" w:eastAsia="el"/>
        </w:rPr>
        <w:t xml:space="preserve">8. </w:t>
      </w:r>
      <w:r>
        <w:rPr>
          <w:b/>
          <w:bCs/>
          <w:lang w:val="el" w:eastAsia="el"/>
        </w:rPr>
        <w:t>Την ανάγκη της συστηματικής παρακολούθησης της νόμιμης παραγωγής και εμπορίας των ετοίμων προς κατανάλωση αλκοολούχων ποτών καθώς και της ενίσχυσης και της βελτίωσης της αποτελεσματικότητας των διενεργούμενων ελέγχων στον τομέα παραγωγής και εμπορίας των αλκοολούχων ποτών, με στόχο την πρόληψη και την καταπολέμηση του παράνομου εμπορίου των προϊόντων αυτών και τη διασφάλιση των δημοσίων εσόδων.</w:t>
      </w:r>
    </w:p>
    <w:p>
      <w:pPr>
        <w:spacing w:before="240" w:after="240"/>
        <w:rPr>
          <w:lang w:val="el" w:eastAsia="el"/>
        </w:rPr>
      </w:pPr>
      <w:r>
        <w:rPr>
          <w:b/>
          <w:bCs/>
          <w:lang w:val="el" w:eastAsia="el"/>
        </w:rPr>
        <w:t xml:space="preserve">9. </w:t>
      </w:r>
      <w:r>
        <w:rPr>
          <w:b/>
          <w:bCs/>
          <w:lang w:val="el" w:eastAsia="el"/>
        </w:rPr>
        <w:t>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 xml:space="preserve">ΑΠΟΦΑΣΙΖΟΥΜΕΚΕΦΑΛΑΙΟ </w:t>
      </w:r>
    </w:p>
    <w:p>
      <w:pPr>
        <w:spacing w:before="240" w:after="240"/>
        <w:rPr>
          <w:lang w:val="el" w:eastAsia="el"/>
        </w:rPr>
      </w:pPr>
      <w:r>
        <w:rPr>
          <w:b/>
          <w:bCs/>
          <w:lang w:val="el" w:eastAsia="el"/>
        </w:rPr>
        <w:t>Α΄ΓΕΝΙΚΕΣ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 – πεδίο εφαρμογής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Σκοπός της παρούσας απόφασης είναι η τήρηση και εφαρμογή κατά τα οριζόμενα στα άρθρα 93 Α και 93 Β του Εθνικού Τελωνειακού Κώδικα (ν.2960/2001, Α΄ 265):</w:t>
      </w:r>
    </w:p>
    <w:p>
      <w:pPr>
        <w:pStyle w:val="StructureList1"/>
        <w:spacing w:before="120" w:after="0"/>
        <w:rPr>
          <w:lang w:val="el" w:eastAsia="el"/>
        </w:rPr>
      </w:pPr>
      <w:r>
        <w:rPr>
          <w:b/>
          <w:bCs/>
          <w:lang w:val="el" w:eastAsia="el"/>
        </w:rPr>
        <w:t>α)</w:t>
      </w:r>
      <w:r>
        <w:rPr>
          <w:b/>
          <w:bCs/>
          <w:lang w:val="en" w:eastAsia="en"/>
        </w:rPr>
        <w:tab/>
      </w:r>
      <w:r>
        <w:rPr>
          <w:b/>
          <w:bCs/>
          <w:lang w:val="el" w:eastAsia="el"/>
        </w:rPr>
        <w:t>του ηλεκτρονικού Μητρώου Επιτηδευματιών Αλκοολούχων Ποτών στο οποίο καταχωρίζονται και τηρούνται τα στοιχεία των φυσικών και νομικών προσώπων τα οποία στο πλαίσιο της επαγγελματικής τους δραστηριότητας, παράγουν, εισάγουν, παραλαμβάνουν από άλλα κράτη της Ε.Ε., μεταποιούν, διαθέτουν ή αποκτούν μέσω χονδρικής πώλησης στο εσωτερικό της χώρας έτοιμα προς κατανάλωση αλκοολούχα ποτά της περ. α) του άρθρου 79 του ν. 2960/2001, όπως εξειδικεύονται στο άρθρο 80 του ίδιου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του ηλεκτρονικού Συστήματος Ταυτοποίησης Αλκοολούχων Ποτών, των της περ. α) αλκοολούχων ποτών, με βάση την ένδειξη παρτίδας στο οποίο καταχωρίζονται στοιχεία σχετικά με την παραλαβή, την παραγωγή, τη μεταποίηση και τις χονδρικές πωλήσεις των ως άνω αλκοολούχων προϊόντων τα οποία παράγονται, εισάγονται, παραλαμβάνονται από άλλα κράτη μέλη της Ε.Ε. ή διακινούνται στο εσωτερικό της χώρας.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Ειδικότερα, με την παρούσα απόφαση καθορίζονται, μεταξύ άλλων:</w:t>
      </w:r>
    </w:p>
    <w:p>
      <w:pPr>
        <w:pStyle w:val="StructureList1"/>
        <w:spacing w:before="120" w:after="0"/>
        <w:rPr>
          <w:lang w:val="el" w:eastAsia="el"/>
        </w:rPr>
      </w:pPr>
      <w:r>
        <w:rPr>
          <w:b/>
          <w:bCs/>
          <w:lang w:val="el" w:eastAsia="el"/>
        </w:rPr>
        <w:t>α)</w:t>
      </w:r>
      <w:r>
        <w:rPr>
          <w:b/>
          <w:bCs/>
          <w:lang w:val="en" w:eastAsia="en"/>
        </w:rPr>
        <w:tab/>
      </w:r>
      <w:r>
        <w:rPr>
          <w:b/>
          <w:bCs/>
          <w:lang w:val="el" w:eastAsia="el"/>
        </w:rPr>
        <w:t>η διαδικασία εγγραφής των προσώπων που είναι υπόχρεα να καταγραφούν στο Ηλεκτρονικό Μητρώο Αλκοολούχων Ποτών,</w:t>
      </w:r>
    </w:p>
    <w:p>
      <w:pPr>
        <w:pStyle w:val="StructureList1"/>
        <w:spacing w:before="120" w:after="0"/>
        <w:rPr>
          <w:lang w:val="el" w:eastAsia="el"/>
        </w:rPr>
      </w:pPr>
      <w:r>
        <w:rPr>
          <w:b/>
          <w:bCs/>
          <w:lang w:val="el" w:eastAsia="el"/>
        </w:rPr>
        <w:t>β)</w:t>
      </w:r>
      <w:r>
        <w:rPr>
          <w:b/>
          <w:bCs/>
          <w:lang w:val="en" w:eastAsia="en"/>
        </w:rPr>
        <w:tab/>
      </w:r>
      <w:r>
        <w:rPr>
          <w:b/>
          <w:bCs/>
          <w:lang w:val="el" w:eastAsia="el"/>
        </w:rPr>
        <w:t>οι κατηγορίες των ετοίμων προς κατανάλωση αλκοολούχων ποτών για τα οποία απαιτείται η καταχώριση στοιχείων στο Ηλεκτρονικό Σύστημα Ταυτοποίησης Αλκοολούχων Ποτών,</w:t>
      </w:r>
    </w:p>
    <w:p>
      <w:pPr>
        <w:pStyle w:val="StructureList1"/>
        <w:spacing w:before="120" w:after="0"/>
        <w:rPr>
          <w:lang w:val="el" w:eastAsia="el"/>
        </w:rPr>
      </w:pPr>
      <w:r>
        <w:rPr>
          <w:b/>
          <w:bCs/>
          <w:lang w:val="el" w:eastAsia="el"/>
        </w:rPr>
        <w:t>γ)</w:t>
      </w:r>
      <w:r>
        <w:rPr>
          <w:b/>
          <w:bCs/>
          <w:lang w:val="en" w:eastAsia="en"/>
        </w:rPr>
        <w:tab/>
      </w:r>
      <w:r>
        <w:rPr>
          <w:b/>
          <w:bCs/>
          <w:lang w:val="el" w:eastAsia="el"/>
        </w:rPr>
        <w:t>τα ειδικότερα στοιχεία που καταχωρίζονται στο Ηλεκτρονικό Μητρώο Επιτηδευματιών Αλκοολούχων Ποτών (Μ.Ε.Α.Π.) καθώς και στο Ηλεκτρονικό Σύστημα Ταυτοποίησης Αλκοολούχων Ποτών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χρόνος καταχώρισης και η διαδικασία μεταβολής των στοιχείων στο Ηλεκτρονικό Μητρώο Επιτηδευματιών Αλκοολούχων Ποτών (Μ.Ε.Α.Π.) και στο Ηλεκτρονικό Σύστημα Ταυτοποίησης Αλκοολούχων Ποτών.</w:t>
      </w:r>
    </w:p>
    <w:p>
      <w:pPr>
        <w:pStyle w:val="StructureList1"/>
        <w:spacing w:before="120" w:after="0"/>
        <w:rPr>
          <w:lang w:val="el" w:eastAsia="el"/>
        </w:rPr>
      </w:pPr>
      <w:r>
        <w:rPr>
          <w:b/>
          <w:bCs/>
          <w:lang w:val="el" w:eastAsia="el"/>
        </w:rPr>
        <w:t>ε)</w:t>
      </w:r>
      <w:r>
        <w:rPr>
          <w:b/>
          <w:bCs/>
          <w:lang w:val="en" w:eastAsia="en"/>
        </w:rPr>
        <w:tab/>
      </w:r>
      <w:r>
        <w:rPr>
          <w:b/>
          <w:bCs/>
          <w:lang w:val="el" w:eastAsia="el"/>
        </w:rPr>
        <w:t>τα φυσικά ή νομικά πρόσωπα που υποχρεούνται στην εγγραφή τους στο Ηλεκτρονικό Μητρώο και στην καταχώριση στοιχείων στο Ηλεκτρονικό Σύστημα Tαυτοποίησης.</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 xml:space="preserve">1 </w:t>
      </w:r>
      <w:r>
        <w:rPr>
          <w:b/>
          <w:bCs/>
          <w:lang w:val="el" w:eastAsia="el"/>
        </w:rPr>
        <w:t xml:space="preserve">. </w:t>
      </w:r>
      <w:r>
        <w:rPr>
          <w:b/>
          <w:bCs/>
          <w:i/>
          <w:iCs/>
          <w:lang w:val="el" w:eastAsia="el"/>
        </w:rPr>
        <w:t>«Ηλεκτρονικό Μητρώο»:</w:t>
      </w:r>
      <w:r>
        <w:rPr>
          <w:b/>
          <w:bCs/>
          <w:lang w:val="el" w:eastAsia="el"/>
        </w:rPr>
        <w:t xml:space="preserve"> το Ηλεκτρονικό Μητρώο Επιτηδευματιών Αλκοολούχων Ποτών το οποίο λειτουργεί στην Ανεξάρτητη Αρχή Δημοσίων Εσόδων (Α.Α.Δ.Ε.) και στο οποίο καταχωρίζονται και τηρούνται τα στοιχεία των υπόχρεων προσώπων του άρθρου 3 τα οποία διαθέτουν τις προβλεπόμενες κατά περίπτωση αδειοδοτήσεις.</w:t>
      </w:r>
    </w:p>
    <w:p>
      <w:pPr>
        <w:spacing w:before="240" w:after="240"/>
        <w:rPr>
          <w:lang w:val="el" w:eastAsia="el"/>
        </w:rPr>
      </w:pPr>
      <w:r>
        <w:rPr>
          <w:b/>
          <w:bCs/>
          <w:lang w:val="el" w:eastAsia="el"/>
        </w:rPr>
        <w:t xml:space="preserve">2 </w:t>
      </w:r>
      <w:r>
        <w:rPr>
          <w:b/>
          <w:bCs/>
          <w:lang w:val="el" w:eastAsia="el"/>
        </w:rPr>
        <w:t xml:space="preserve">. </w:t>
      </w:r>
      <w:r>
        <w:rPr>
          <w:b/>
          <w:bCs/>
          <w:i/>
          <w:iCs/>
          <w:lang w:val="el" w:eastAsia="el"/>
        </w:rPr>
        <w:t>«Ηλεκτρονικό Σύστημα Ταυτοποίησης»</w:t>
      </w:r>
      <w:r>
        <w:rPr>
          <w:b/>
          <w:bCs/>
          <w:lang w:val="el" w:eastAsia="el"/>
        </w:rPr>
        <w:t>: το Ηλεκτρονικό σύστημα Ταυτοποίησης Αλκοολούχων Ποτών, το οποίο λειτουργεί στην Ανεξάρτητη Αρχή Δημοσίων Εσόδων (Α.Α.Δ.Ε.) και στο οποίο καταχωρίζονται από τα υπόχρεα πρόσωπα του άρθρου 3 στοιχεία σχετικά με την παραγωγή, μεταποίηση, εισαγωγή, παραλαβή από άλλα κράτη μέλη της Ε.Ε., χονδρική πώληση έτοιμων προς κατανάλωση αλκοολούχων προϊόντων της περ. α) του άρθρου 79 του ν.2960/01, όπως εξειδικεύονται στο άρθρο 80 του ν.2960/01, με βάση την ένδειξη παρτίδας.</w:t>
      </w:r>
    </w:p>
    <w:p>
      <w:pPr>
        <w:spacing w:before="240" w:after="240"/>
        <w:rPr>
          <w:lang w:val="el" w:eastAsia="el"/>
        </w:rPr>
      </w:pPr>
      <w:r>
        <w:rPr>
          <w:b/>
          <w:bCs/>
          <w:lang w:val="el" w:eastAsia="el"/>
        </w:rPr>
        <w:t xml:space="preserve">3 </w:t>
      </w:r>
      <w:r>
        <w:rPr>
          <w:b/>
          <w:bCs/>
          <w:lang w:val="el" w:eastAsia="el"/>
        </w:rPr>
        <w:t>. «</w:t>
      </w:r>
      <w:r>
        <w:rPr>
          <w:b/>
          <w:bCs/>
          <w:i/>
          <w:iCs/>
          <w:lang w:val="el" w:eastAsia="el"/>
        </w:rPr>
        <w:t xml:space="preserve">Αριθμός Επιτηδευματία Αλκοολούχων Ποτών (Α.Ε.Α.Π.)» </w:t>
      </w:r>
      <w:r>
        <w:rPr>
          <w:b/>
          <w:bCs/>
          <w:i/>
          <w:iCs/>
          <w:lang w:val="el" w:eastAsia="el"/>
        </w:rPr>
        <w:t>:</w:t>
      </w:r>
      <w:r>
        <w:rPr>
          <w:b/>
          <w:bCs/>
          <w:lang w:val="el" w:eastAsia="el"/>
        </w:rPr>
        <w:t xml:space="preserve"> Ο μοναδικός αριθμός που λαμβάνει το υπόχρεο πρόσωπο του άρθρου 3 με την καταχώριση των προβλεπόμενων στην παρούσα στοιχείων στο Ηλεκτρονικό Μητρώο Επιτηδευματιών Αλκοολούχων Ποτών.</w:t>
      </w:r>
    </w:p>
    <w:p>
      <w:pPr>
        <w:spacing w:before="240" w:after="240"/>
        <w:rPr>
          <w:lang w:val="el" w:eastAsia="el"/>
        </w:rPr>
      </w:pPr>
      <w:r>
        <w:rPr>
          <w:b/>
          <w:bCs/>
          <w:lang w:val="el" w:eastAsia="el"/>
        </w:rPr>
        <w:t xml:space="preserve">4 </w:t>
      </w:r>
      <w:r>
        <w:rPr>
          <w:b/>
          <w:bCs/>
          <w:lang w:val="el" w:eastAsia="el"/>
        </w:rPr>
        <w:t>. «Ένδειξη παρτίδας»: ένδειξη σχετική με την αναγνώριση της παρτίδας στο αλκοολούχο ποτό, όπως προβλέπεται στην υπ’ αρ. 259/2013/24-02-2014 (Β’ 563) κοινή απόφαση Υφυπουργού Οικονομικών και Υπουργού Ανάπτυξης &amp; Ανταγωνιστικότητας και στην υπ’ αρ. 97/2017/0512-2017 απόφαση Υφυπουργού Οικονομικών (Β’ 4883).</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Υπόχρεα πρόσωπα εγγραφής στο Ηλεκτρονικό Μητρώο και στην καταχώριση στοιχείων στοΗλεκτρονικό Σύστημα Tαυτοποίησης</w:t>
      </w:r>
    </w:p>
    <w:p>
      <w:pPr>
        <w:spacing w:before="240" w:after="240"/>
        <w:rPr>
          <w:lang w:val="el" w:eastAsia="el"/>
        </w:rPr>
      </w:pPr>
      <w:r>
        <w:rPr>
          <w:b/>
          <w:bCs/>
          <w:lang w:val="el" w:eastAsia="el"/>
        </w:rPr>
        <w:t>Τα φυσικά ή νομικά πρόσωπα, τα οποία υποχρεούνται στην εγγραφή τους στο Ηλεκτρονικό Μητρώο και στην καταχώριση στοιχείων στο Ηλεκτρονικό Σύστημα Tαυτοποίησης, είναι τα πρόσωπα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παράγουν ή εισάγουν ή παραλαμβάνουν από άλλα κράτη της Ε.Ε. ή μεταποιούν</w:t>
      </w:r>
    </w:p>
    <w:p>
      <w:pPr>
        <w:pStyle w:val="StructureList1"/>
        <w:spacing w:before="120" w:after="0"/>
        <w:rPr>
          <w:lang w:val="el" w:eastAsia="el"/>
        </w:rPr>
      </w:pPr>
      <w:r>
        <w:rPr>
          <w:b/>
          <w:bCs/>
          <w:lang w:val="el" w:eastAsia="el"/>
        </w:rPr>
        <w:t>β)</w:t>
      </w:r>
      <w:r>
        <w:rPr>
          <w:b/>
          <w:bCs/>
          <w:lang w:val="en" w:eastAsia="en"/>
        </w:rPr>
        <w:tab/>
      </w:r>
      <w:r>
        <w:rPr>
          <w:b/>
          <w:bCs/>
          <w:lang w:val="el" w:eastAsia="el"/>
        </w:rPr>
        <w:t>διαθέτουν μέσω χονδρικής πώλησης στο εσωτερικό της χώρας</w:t>
      </w:r>
    </w:p>
    <w:p>
      <w:pPr>
        <w:spacing w:before="240" w:after="240"/>
        <w:rPr>
          <w:lang w:val="el" w:eastAsia="el"/>
        </w:rPr>
      </w:pPr>
      <w:r>
        <w:rPr>
          <w:b/>
          <w:bCs/>
          <w:lang w:val="el" w:eastAsia="el"/>
        </w:rPr>
        <w:t>έτοιμα προς κατανάλωση αλκοολούχα ποτά της περ. α) του άρθρου 79 του ν.2960/01, όπως εξειδικεύονται στο άρθρο 80 του ν.2960/01 και διαθέτουν Κωδικούς Αριθμούς Δραστηριότητας, κύριας ή και δευτερεύουσας, που εμπίπτουν στον κλάδο χονδρικού εμπορίου (ΚΑΔ 46).</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Αρμόδιες Αρχές</w:t>
      </w:r>
    </w:p>
    <w:p>
      <w:pPr>
        <w:spacing w:before="240" w:after="240"/>
        <w:rPr>
          <w:lang w:val="el" w:eastAsia="el"/>
        </w:rPr>
      </w:pPr>
      <w:r>
        <w:rPr>
          <w:b/>
          <w:bCs/>
          <w:lang w:val="el" w:eastAsia="el"/>
        </w:rPr>
        <w:t>Στις Υπηρεσίες της Ανεξάρτητης Αρχής Δημοσίων Εσόδων (Α.Α.Δ.Ε.) λειτουργεί το Ηλεκτρονικό Μητρώο Επιτηδευματιών Αλκοολούχων Ποτών και εφαρμόζεται το Ηλεκτρονικό Σύστημα Ταυτοποίησης Αλκοολούχων Ποτών.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Ως αρμόδια Υπηρεσία για την παρακολούθηση και την ορθή εφαρμογή, τήρηση και λειτουργία του Ηλεκτρονικού Μητρώου Επιτηδευματιών Αλκοολούχων Ποτών και Ηλεκτρονικού Συστήματος Ταυτοποίησης Αλκοολούχων Ποτών ορίζεται η Διεύθυνση Ειδικών Φόρων Κατανάλωσης &amp; Φ.Π.Α. της Γενικής Διεύθυνσης Τελωνείων &amp; Ε.Φ.Κ., σε συνεργασία με τη Δ/νση Αλκοόλης και Τροφίμων της Γενικής Διεύθυνσης του Γενικού Χημείου του Κράτους.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Ως αρμόδια Υπηρεσία για τις προδιαγραφές του Ηλεκτρονικού Μητρώου Επιτηδευματιών Αλκοολούχων Ποτών και του Ηλεκτρονικού Συστήματος Ταυτοποίησης Αλκοολούχων Ποτών, ορίζεται η Διεύθυνση Στρατηγικής Τελωνειακών Ελέγχων &amp; Παραβάσεων της Γενικής Διεύθυνσης Τελωνείων &amp; Ε.Φ.Κ., σε συνεργασία με τη Δ/νση Αλκοόλης και Τροφίμων της Γενικής Διεύθυνσης του Γενικού Χημείου του Κράτους και με τις, κατά περίπτωση, λοιπές αρμόδιες Υπηρεσίες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Ως αρμόδια Υπηρεσία για την τεχνική υποστήριξη της παραγωγικής λειτουργίας του Ηλεκτρονικού Μητρώου Επιτηδευματιών Αλκοολούχων Ποτών και του Ηλεκτρονικού Συστήματος Ταυτοποίησης Αλκοολούχων Ποτών ορίζεται η Υποδιεύθυνση Ανάπτυξης Τελωνειακών Εφαρμογών της Διεύθυνσης Ανάπτυξης Τελωνειακών, Ελεγκτικών και Επιχειρησιακών Εφαρμογών (Δ.Α.Τ.Ε.) της Γενικής Διεύθυνσης Ηλεκτρονικής Διακυβέρνησης.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Ως αρμόδια Υπηρεσία για τις επιχειρησιακές και λειτουργικές απαιτήσεις του Ηλεκτρονικού Μητρώου Επιτηδευματιών Αλκοολούχων Ποτών και του Ηλεκτρονικού Συστήματος Ταυτοποίησης Αλκοολούχων Ποτών, ορίζεται η Υποδιεύθυνση Απαιτήσεων &amp; Ελέγχου Εφαρμογών Τελωνείων της Διεύθυνσης Επιχειρησιακών Διαδικασιών (ΔΙ.ΕΠΙ.ΔΙ.) της Γενικής Διεύθυνσης Ηλεκτρονικής Διακυβέρνησης, σε συνεργασία με την Διεύθυνση ΕΦΚ &amp; ΦΠΑ της Γενικής Δ/νσης Τελωνείων &amp; Ε.Φ.Κ.</w:t>
      </w:r>
    </w:p>
    <w:p>
      <w:pPr>
        <w:pStyle w:val="Heading1"/>
        <w:spacing w:before="240" w:after="240"/>
        <w:rPr>
          <w:lang w:val="el" w:eastAsia="el"/>
        </w:rPr>
      </w:pPr>
      <w:r>
        <w:rPr>
          <w:b/>
          <w:bCs/>
          <w:u w:val="single"/>
          <w:lang w:val="el" w:eastAsia="el"/>
        </w:rPr>
        <w:t xml:space="preserve">ΚΕΦΑΛΑΙΟ </w:t>
      </w:r>
      <w:r>
        <w:rPr>
          <w:b/>
          <w:bCs/>
          <w:u w:val="single"/>
          <w:lang w:val="el" w:eastAsia="el"/>
        </w:rPr>
        <w:t>Β΄</w:t>
      </w:r>
      <w:r>
        <w:rPr>
          <w:b/>
          <w:bCs/>
          <w:lang w:val="el" w:eastAsia="el"/>
        </w:rPr>
        <w:t xml:space="preserve"> </w:t>
      </w:r>
    </w:p>
    <w:p>
      <w:pPr>
        <w:pStyle w:val="Heading1"/>
        <w:spacing w:before="240" w:after="240"/>
        <w:rPr>
          <w:lang w:val="el" w:eastAsia="el"/>
        </w:rPr>
      </w:pPr>
      <w:r>
        <w:rPr>
          <w:b/>
          <w:bCs/>
          <w:u w:val="single"/>
          <w:lang w:val="el" w:eastAsia="el"/>
        </w:rPr>
        <w:t xml:space="preserve">Ηλεκτρονικό Μητρώο Επιτηδευματιών Αλκοολούχων Ποτών </w:t>
      </w:r>
      <w:r>
        <w:rPr>
          <w:b/>
          <w:bCs/>
          <w:u w:val="single"/>
          <w:lang w:val="el" w:eastAsia="el"/>
        </w:rPr>
        <w:t xml:space="preserve">/ </w:t>
      </w:r>
    </w:p>
    <w:p>
      <w:pPr>
        <w:spacing w:before="240" w:after="240"/>
        <w:rPr>
          <w:lang w:val="el" w:eastAsia="el"/>
        </w:rPr>
      </w:pPr>
      <w:r>
        <w:rPr>
          <w:b/>
          <w:bCs/>
          <w:u w:val="single"/>
          <w:lang w:val="el" w:eastAsia="el"/>
        </w:rPr>
        <w:t>Ηλεκτρονικό Σύστημα</w:t>
      </w:r>
      <w:r>
        <w:rPr>
          <w:b/>
          <w:bCs/>
          <w:u w:val="single"/>
          <w:lang w:val="el" w:eastAsia="el"/>
        </w:rPr>
        <w:t xml:space="preserve">Tαυτοποίησης </w:t>
      </w:r>
      <w:r>
        <w:rPr>
          <w:b/>
          <w:bCs/>
          <w:u w:val="single"/>
          <w:lang w:val="el" w:eastAsia="el"/>
        </w:rPr>
        <w:t>Αλκοολούχων Ποτών</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 xml:space="preserve">Διαδικασία εγγραφής / </w:t>
      </w:r>
    </w:p>
    <w:p>
      <w:pPr>
        <w:spacing w:before="240" w:after="240"/>
        <w:rPr>
          <w:lang w:val="el" w:eastAsia="el"/>
        </w:rPr>
      </w:pPr>
      <w:r>
        <w:rPr>
          <w:b/>
          <w:bCs/>
          <w:lang w:val="el" w:eastAsia="el"/>
        </w:rPr>
        <w:t>τροποποίησης Ηλεκτρονικού Μητρώου Επιτηδευματιών ΑλκοολούχωνΠοτών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Τα Υπόχρεα Πρόσωπα οφείλουν να εγγράφονται στο Ηλεκτρονικό Μητρώο καταχωρίζοντας τα στοιχεία του παραρτήματος Ι, το οποίο αποτελεί αναπόσπαστο μέρος της παρούσας.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Τα Υπόχρεα Πρόσωπα που δραστηριοποιούνται για πρώτη φορά στον τομέα των αλκοολούχων, οφείλουν να εγγραφούν στο Ηλεκτρονικό Μητρώο μέχρι το τέλος του επόμενου μήνα από τον μήνα έναρξης της δραστηριότητας τους στην αρμόδια ΔΟΥ.</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είσοδος των Υπόχρεων Προσώπων στο Ηλεκτρονικό Μητρώο πραγματοποιείται μέσω επαλήθευσης / επιβεβαίωσης της ταυτότητάς τους με τη χρήση των κωδικών του TAXISnet.</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Με την ολοκλήρωση της καταχώρισης των στοιχείων τα Υπόχρεα Πρόσωπα λαμβάνουν έναν μοναδικό αριθμό ο οποίος αποτελεί τον Αριθμό Επιτηδευματία Αλκοολούχων Ποτών (Α.Ε.Α.Π.).</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Τα Υπόχρεα Πρόσωπα έχουν την αποκλειστική ευθύνη, τόσο για την καταχώριση, όσο και γ</w:t>
      </w:r>
      <w:r>
        <w:rPr>
          <w:b/>
          <w:bCs/>
          <w:i/>
          <w:iCs/>
          <w:lang w:val="el" w:eastAsia="el"/>
        </w:rPr>
        <w:t>ια την ακρίβεια και την ορθότητα των στοιχείων που</w:t>
      </w:r>
      <w:r>
        <w:rPr>
          <w:b/>
          <w:bCs/>
          <w:lang w:val="el" w:eastAsia="el"/>
        </w:rPr>
        <w:t xml:space="preserve"> καταχωρίζουν.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Εντός δέκα (10) εργάσιμων ημερών από την μεταβολή κάθε στοιχείου που έχει καταχωρηθεί στο Ηλεκτρονικό Μητρώο, τα Υπόχρεα Πρόσωπα υποχρεούνται να καταχωρήσουν την μεταβολή αυτή στο Ηλεκτρονικό Μητρώο.Εντός δέκα (10) εργάσιμων ημερών από την διακοπή δραστηριότητας στην Δ.Ο.Υ., τα εγγεγραμμένα στο Ηλεκτρονικό Μητρώο πρόσωπα υποχρεούνται να προβαίνουν σε απενεργοποίηση των στοιχείων τους από το ηλεκτρονικό μητρώο.</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Διαλειτουργικότητα του Ηλεκτρονικού Μητρώου Επιτηδευματιών Αλκοολούχων Ποτών και τουΗλεκτρονικού Συστήματος Ταυτοποίησης Αλκοολούχων Ποτών</w:t>
      </w:r>
    </w:p>
    <w:p>
      <w:pPr>
        <w:spacing w:before="240" w:after="240"/>
        <w:rPr>
          <w:lang w:val="el" w:eastAsia="el"/>
        </w:rPr>
      </w:pPr>
      <w:r>
        <w:rPr>
          <w:b/>
          <w:bCs/>
          <w:lang w:val="el" w:eastAsia="el"/>
        </w:rPr>
        <w:t>Το Ηλεκτρονικό Μητρώο Επιτηδευματιών Αλκοολούχων Ποτών διασυνδέεται και διαλειτουργεί με το Ηλεκτρονικό Σύστημα Ταυτοποίησης Αλκοολούχων Ποτών, για σκοπούς ορθής ταυτοποίησης των Υπόχρεων Προσώπων.</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Διαδικασία και χρόνος καταχώρησης στοιχείων στο Ηλεκτρονικό Σύστημα ΤαυτοποίησηςΑλκοολούχων Ποτών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Τα υπόχρεα πρόσωπα, οφείλουν έως την τριακοστή (30</w:t>
      </w:r>
      <w:r>
        <w:rPr>
          <w:b/>
          <w:bCs/>
          <w:sz w:val="30"/>
          <w:szCs w:val="30"/>
          <w:vertAlign w:val="superscript"/>
          <w:lang w:val="el" w:eastAsia="el"/>
        </w:rPr>
        <w:t>η</w:t>
      </w:r>
      <w:r>
        <w:rPr>
          <w:b/>
          <w:bCs/>
          <w:lang w:val="el" w:eastAsia="el"/>
        </w:rPr>
        <w:t>) ημέρα του επόμενου μήνα από τον μήνα εγγραφής τους στο Ηλεκτρονικό Μητρώο και λήψης του Μοναδικού Αριθμού Επιτηδευματία Αλκοολούχων Ποτών (Α.Ε.Α.Π.), να καταχωρίζουν στο Ηλεκτρονικό Σύστημα Ταυτοποίησης τα στοιχεία του παραρτήματος ΙΙ, το οποίο αποτελεί αναπόσπαστο μέρος της παρούσας.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καταχώριση στο Ηλεκτρονικό Σύστημα πραγματοποιείται με βάση τις ημερήσιες κινήσεις εισερχομένων/εξερχομένων έτοιμων προς κατανάλωση αλκοολούχων ποτών της περ. α) του άρθρου 79 του ν.2960/01, όπως εξειδικεύονται στο άρθρο 80 του ν.2960/01 και πρέπει να ολοκληρώνεται εντός πέντε (5) εργάσιμων ημερών από την ημέρα της σχετικής κίνησης (παραγωγής, μεταποίησης, αγοράς/παραλαβής, πώλησης, επιστροφής).</w:t>
      </w:r>
    </w:p>
    <w:p>
      <w:pPr>
        <w:spacing w:before="240" w:after="240"/>
        <w:rPr>
          <w:lang w:val="el" w:eastAsia="el"/>
        </w:rPr>
      </w:pPr>
      <w:r>
        <w:rPr>
          <w:b/>
          <w:bCs/>
          <w:lang w:val="el" w:eastAsia="el"/>
        </w:rPr>
        <w:t>Ειδικότερα τα υπόχρεα πρόσωπα καταχωρίζουν στο Ηλεκτρονικό Σύστημα Ταυτοποίησης με βάση την ένδειξη παρτίδας) του εκάστοτε προϊόντος τα ακόλουθα στοιχεία : α) τη νόμιμη ονομασία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ένδειξη παρτίδας προϊόντος, στην περίπτωση που η ένδειξη παρτίδας προϊόντος καταλήγει σε ώρα, λεπτά και δευτερόλεπτα στο σύστημα καταχωρίζεται μόνο ο αναγνωριστικός αριθμός χωρίς τα στοιχεία της ώρας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εμπορική ονομασία προϊόντος και τυχόν διακριτικές ενδείξεις αυτού, δ) την ποσότητα με βάση τον ονομαστικό όγκο του περιεχόμενου προϊόντος στην προσυσκευασία (φιάλη),</w:t>
      </w:r>
    </w:p>
    <w:p>
      <w:pPr>
        <w:pStyle w:val="StructureList1"/>
        <w:spacing w:before="120" w:after="0"/>
        <w:rPr>
          <w:lang w:val="el" w:eastAsia="el"/>
        </w:rPr>
      </w:pPr>
      <w:r>
        <w:rPr>
          <w:b/>
          <w:bCs/>
          <w:lang w:val="el" w:eastAsia="el"/>
        </w:rPr>
        <w:t>ε)</w:t>
      </w:r>
      <w:r>
        <w:rPr>
          <w:b/>
          <w:bCs/>
          <w:lang w:val="en" w:eastAsia="en"/>
        </w:rPr>
        <w:tab/>
      </w:r>
      <w:r>
        <w:rPr>
          <w:b/>
          <w:bCs/>
          <w:lang w:val="el" w:eastAsia="el"/>
        </w:rPr>
        <w:t>το είδος της συναλλαγής ήτοι παραγωγή/μεταποίηση/αγορά/επιστροφή (εισερχόμενη ένδειξη παρτίδας), πώληση/αποστολή(εξερχόμενη ένδειξη παρτίδας),</w:t>
      </w:r>
    </w:p>
    <w:p>
      <w:pPr>
        <w:pStyle w:val="StructureList1"/>
        <w:spacing w:before="120" w:after="0"/>
        <w:rPr>
          <w:lang w:val="el" w:eastAsia="el"/>
        </w:rPr>
      </w:pPr>
      <w:r>
        <w:rPr>
          <w:b/>
          <w:bCs/>
          <w:lang w:val="el" w:eastAsia="el"/>
        </w:rPr>
        <w:t>στ)</w:t>
      </w:r>
      <w:r>
        <w:rPr>
          <w:b/>
          <w:bCs/>
          <w:lang w:val="en" w:eastAsia="en"/>
        </w:rPr>
        <w:tab/>
      </w:r>
      <w:r>
        <w:rPr>
          <w:b/>
          <w:bCs/>
          <w:lang w:val="el" w:eastAsia="el"/>
        </w:rPr>
        <w:t>το είδος του παραστατικού εισόδου/ εξόδου και τα στοιχεία αυτού, ήτοι τον αριθμό του δελτίου παραγωγής, του τιμολογίου ή παραστατικού στοιχείου διακίνησης των άρθρων 5 και 9 του ν. 4308/2014 (Α΄ 251), κατά περίπτωση ανάλογα με το είδος της συναλλαγής (εισερχόμενη ένδειξη παρτίδας/ εξερχόμενη ένδειξη παρτίδας ),</w:t>
      </w:r>
    </w:p>
    <w:p>
      <w:pPr>
        <w:pStyle w:val="StructureList1"/>
        <w:spacing w:before="120" w:after="0"/>
        <w:rPr>
          <w:lang w:val="el" w:eastAsia="el"/>
        </w:rPr>
      </w:pPr>
      <w:r>
        <w:rPr>
          <w:b/>
          <w:bCs/>
          <w:lang w:val="el" w:eastAsia="el"/>
        </w:rPr>
        <w:t>ζ)</w:t>
      </w:r>
      <w:r>
        <w:rPr>
          <w:b/>
          <w:bCs/>
          <w:lang w:val="en" w:eastAsia="en"/>
        </w:rPr>
        <w:tab/>
      </w:r>
      <w:r>
        <w:rPr>
          <w:b/>
          <w:bCs/>
          <w:lang w:val="el" w:eastAsia="el"/>
        </w:rPr>
        <w:t>την ημερομηνία της συναλλαγής (ημερομηνία παραγωγής/μεταποίησης, αγοράς/επιστροφής, πώλησης ή αποστολής),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τα στοιχεία της επιχείρησης παραγωγής , πώλησης ή αγοράς (στοιχεία προμηθευτή – παραλήπτη).</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Για οποιαδήποτε διόρθωση ή διαγραφή στα στοιχεία των καταχωρισμένων ημερήσιων κινήσεων εισερχομένων/εξερχομένων αλκοολούχων ποτών, πραγματοποιείται διόρθωση των στοιχείων, με διατήρηση της ιστορικότητας των προηγούμενων καταχωρίσεων. Δεν επιτρέπεται η διόρθωση ή διαγραφή στοιχείων, κατά το χρονικό διάστημα που η επιχείρηση βρίσκεται υπό έλεγχο από τις αρμόδιες αρχές και έχει ενημερωθεί σχετικά.</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Τα υπόχρεα πρόσωπα, σε περίπτωση που εντοπίσουν αλλοιώσεις ή παραποιήσεις σε συγκεκριμένες ενδείξεις παρτίδας προϊόντων που παράγουν ή διαθέτουν στην αγορά, υποχρεούνται να εισάγουν την σχετική πληροφόρηση για την ύπαρξη ύποπτης ένδειξης παρτίδας προϊόντος στο ηλεκτρονικό σύστημα ταυτοποίησης, καταχωρίζοντας τα στοιχεία του παραρτήματος ΙΙΙ.</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Δημοσιότητα Ηλεκτρονικού Μητρώου/ Ηλεκτρονικού Συστήματος Ταυτοποίησης αλκοολούχωνποτών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εφαρμογή και η λειτουργία του Ηλεκτρονικού Μητρώου και του Ηλεκτρονικού Συστήματος Ταυτοποίησης διασφαλίζουν την τήρηση της εμπιστευτικότητας και του απορρήτου των στοιχείων που καταχωρίζονται σε αυτά καθώς και την προσωποποιημένη προσβασιμότητα των χρηστών κατ΄ εφαρμογή των διατάξεων του Κανονισμού (ΕΕ) 2016/679 του Ευρωπαϊκού Κοινοβουλίου και του Συμβουλίου της 27</w:t>
      </w:r>
      <w:r>
        <w:rPr>
          <w:b/>
          <w:bCs/>
          <w:sz w:val="30"/>
          <w:szCs w:val="30"/>
          <w:vertAlign w:val="superscript"/>
          <w:lang w:val="el" w:eastAsia="el"/>
        </w:rPr>
        <w:t>ης</w:t>
      </w:r>
      <w:r>
        <w:rPr>
          <w:b/>
          <w:bCs/>
          <w:lang w:val="el" w:eastAsia="el"/>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των δεδομένων» (L 119) και του ν.4624/2019 «Αρχή Προστασίας Δεδομένων Προσωπικού Χαρακτήρα, μέτρα εφαρμογής του Κανονισμού (ΕΕ) 2016/679 του Ευρωπαϊκού Κοινοβουλίου και του Συμβουλίου της 27</w:t>
      </w:r>
      <w:r>
        <w:rPr>
          <w:b/>
          <w:bCs/>
          <w:sz w:val="30"/>
          <w:szCs w:val="30"/>
          <w:vertAlign w:val="superscript"/>
          <w:lang w:val="el" w:eastAsia="el"/>
        </w:rPr>
        <w:t>ης</w:t>
      </w:r>
      <w:r>
        <w:rPr>
          <w:b/>
          <w:bCs/>
          <w:lang w:val="el" w:eastAsia="el"/>
        </w:rPr>
        <w:t xml:space="preserve"> Απριλίου του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w:t>
      </w:r>
      <w:r>
        <w:rPr>
          <w:b/>
          <w:bCs/>
          <w:sz w:val="30"/>
          <w:szCs w:val="30"/>
          <w:vertAlign w:val="superscript"/>
          <w:lang w:val="el" w:eastAsia="el"/>
        </w:rPr>
        <w:t>ης</w:t>
      </w:r>
      <w:r>
        <w:rPr>
          <w:b/>
          <w:bCs/>
          <w:lang w:val="el" w:eastAsia="el"/>
        </w:rPr>
        <w:t xml:space="preserve"> Απριλίου του 2016 και άλλες διατάξεις» (Α΄ 137).</w:t>
      </w:r>
    </w:p>
    <w:p>
      <w:pPr>
        <w:spacing w:before="240" w:after="240"/>
        <w:rPr>
          <w:lang w:val="el" w:eastAsia="el"/>
        </w:rPr>
      </w:pPr>
      <w:r>
        <w:rPr>
          <w:b/>
          <w:bCs/>
          <w:lang w:val="el" w:eastAsia="el"/>
        </w:rPr>
        <w:t>Η δημοσιοποίηση των καταχωρισμένων στοιχείων του Ηλεκτρονικού Μητρώου και του Ηλεκτρονικού Συστήματος Ταυτοποίησης σε τρίτους, εκτός των αρμόδιων υπηρεσιών του άρθρου 4 της παρούσας, τελεί υπό τους όρους του άρθρου 17 «περί διαφύλαξης πληροφοριών – απορρήτου» του Μέρους Α΄ «Κώδικας Φορολογικής Διαδικασίας» του ν. 4174/2013, «Φορολογικές διαδικασίες και άλλες διατάξεις» (Α΄ 170).</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9Κυρώσεις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Για την μη τήρηση των διατάξεων της παρούσας επιβάλλονται οι κυρώσεις του άρθρου 119Α του ν. 2960/2001 με την επιφύλαξη των περί λαθρεμπορίας διατάξεων.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Αρμόδια τελωνειακή αρχή για την επιβολή των κυρώσεων που προβλέπονται από την μη τήρηση των διατάξεων της παρούσας, είναι το τελωνείο στη χωρική αρμοδιότητα του οποίου βρίσκεται η έδρα του υπόχρεου προσώπου.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10Μεταβατικές διατάξεις</w:t>
      </w:r>
    </w:p>
    <w:p>
      <w:pPr>
        <w:spacing w:before="240" w:after="240"/>
        <w:rPr>
          <w:lang w:val="el" w:eastAsia="el"/>
        </w:rPr>
      </w:pPr>
      <w:r>
        <w:rPr>
          <w:b/>
          <w:bCs/>
          <w:lang w:val="el" w:eastAsia="el"/>
        </w:rPr>
        <w:t>Κατ’ εξαίρεση των οριζόμενων στην παρ. 2 του άρθρου 5 της παρούσας, τα πρόσωπα, τα οποία ήδη, κατά την ημερομηνία έναρξης ισχύος της παρούσας απόφασης, δραστηριοποιούνται στο τομέα της παραγωγής και διάθεσης αλκοολούχων ποτών και βάσει των διατάξεων αυτής καθίστανται υπόχρεα καταχώρισης στοιχείων, υποχρεούνται εντός ενενήντα (90) ημερών από την έναρξη ισχύος της παρούσας να εγγραφούν στο Ηλεκτρονικό Μητρώο σύμφωνα με τα οριζόμενα στο ως άνω άρθρο 5 .</w:t>
      </w:r>
    </w:p>
    <w:p>
      <w:pPr>
        <w:pStyle w:val="Heading6"/>
        <w:spacing w:before="240" w:after="240"/>
        <w:rPr>
          <w:lang w:val="el" w:eastAsia="el"/>
        </w:rPr>
      </w:pPr>
      <w:r>
        <w:rPr>
          <w:b/>
          <w:bCs/>
          <w:lang w:val="el" w:eastAsia="el"/>
        </w:rPr>
        <w:t>Άρθρο 11</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παρούσα απόφαση ισχύει από την ημερομηνία έναρξης της παραγωγικής λειτουργίας του Ηλεκτρονικού Μητρώου Επιτηδευματιών Αλκοολούχων Ποτών και του Ηλεκτρονικού Συστήματος Ταυτοποίησης Αλκοολούχων Ποτών, η οποία θα καθοριστεί με νεότερη κοινή Απόφαση του Υφυπουργού Οικονομικών και Διοικητή της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παρούσα απόφαση να δημοσιευτεί στην Εφημερίδα της Κυβερνήσεως.</w:t>
      </w:r>
    </w:p>
    <w:p>
      <w:pPr>
        <w:spacing w:before="240" w:after="240"/>
        <w:rPr>
          <w:lang w:val="el" w:eastAsia="el"/>
        </w:rPr>
      </w:pPr>
      <w:r>
        <w:rPr>
          <w:b/>
          <w:bCs/>
          <w:lang w:val="el" w:eastAsia="el"/>
        </w:rPr>
        <w:t>ΑΠ. ΒΕΣΥΡΟΠΟΥΛΟΣ</w:t>
      </w:r>
    </w:p>
    <w:p>
      <w:pPr>
        <w:spacing w:before="240" w:after="240"/>
        <w:rPr>
          <w:lang w:val="el" w:eastAsia="el"/>
        </w:rPr>
      </w:pPr>
      <w:r>
        <w:rPr>
          <w:b/>
          <w:bCs/>
          <w:u w:val="single"/>
          <w:lang w:val="el" w:eastAsia="el"/>
        </w:rPr>
        <w:t>Πίνακας Διανομής:</w:t>
      </w:r>
    </w:p>
    <w:p>
      <w:pPr>
        <w:spacing w:before="240" w:after="240"/>
        <w:rPr>
          <w:lang w:val="el" w:eastAsia="el"/>
        </w:rPr>
      </w:pPr>
      <w:r>
        <w:rPr>
          <w:b/>
          <w:bCs/>
          <w:lang w:val="el" w:eastAsia="el"/>
        </w:rPr>
        <w:t xml:space="preserve">Α. </w:t>
      </w:r>
      <w:r>
        <w:rPr>
          <w:b/>
          <w:bCs/>
          <w:u w:val="single"/>
          <w:lang w:val="el" w:eastAsia="el"/>
        </w:rPr>
        <w:t>Αποδέκτες για ενέργεια</w:t>
      </w:r>
    </w:p>
    <w:p>
      <w:pPr>
        <w:spacing w:before="240" w:after="240"/>
        <w:rPr>
          <w:lang w:val="el" w:eastAsia="el"/>
        </w:rPr>
      </w:pPr>
      <w:r>
        <w:rPr>
          <w:b/>
          <w:bCs/>
          <w:lang w:val="el" w:eastAsia="el"/>
        </w:rPr>
        <w:t>Εθνικό Τυπογραφείο</w:t>
      </w:r>
    </w:p>
    <w:p>
      <w:pPr>
        <w:spacing w:before="240" w:after="240"/>
        <w:rPr>
          <w:lang w:val="el" w:eastAsia="el"/>
        </w:rPr>
      </w:pPr>
      <w:r>
        <w:rPr>
          <w:b/>
          <w:bCs/>
          <w:lang w:val="el" w:eastAsia="el"/>
        </w:rPr>
        <w:t>(Για δημοσίευση της παρούσας στην Εφημερίδα της Κυβερνήσεως)</w:t>
      </w:r>
    </w:p>
    <w:p>
      <w:pPr>
        <w:spacing w:before="240" w:after="240"/>
        <w:rPr>
          <w:lang w:val="el" w:eastAsia="el"/>
        </w:rPr>
      </w:pPr>
      <w:r>
        <w:rPr>
          <w:b/>
          <w:bCs/>
          <w:u w:val="single"/>
          <w:lang w:val="el" w:eastAsia="el"/>
        </w:rPr>
        <w:t xml:space="preserve">Β </w:t>
      </w:r>
      <w:r>
        <w:rPr>
          <w:b/>
          <w:bCs/>
          <w:i/>
          <w:iCs/>
          <w:u w:val="single"/>
          <w:lang w:val="el" w:eastAsia="el"/>
        </w:rPr>
        <w:t>.</w:t>
      </w:r>
      <w:r>
        <w:rPr>
          <w:b/>
          <w:bCs/>
          <w:u w:val="single"/>
          <w:lang w:val="el" w:eastAsia="el"/>
        </w:rPr>
        <w:t>Κοινοποίηση</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Γραφείο Υπουργού Οικονομικών</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Γραφείο Υφυπουργού Οικονομικών</w:t>
      </w:r>
    </w:p>
    <w:p>
      <w:pPr>
        <w:spacing w:before="240" w:after="240"/>
        <w:rPr>
          <w:lang w:val="el" w:eastAsia="el"/>
        </w:rPr>
      </w:pPr>
      <w:r>
        <w:rPr>
          <w:b/>
          <w:bCs/>
          <w:u w:val="single"/>
          <w:lang w:val="el" w:eastAsia="el"/>
        </w:rPr>
        <w:t xml:space="preserve">Γ. </w:t>
      </w:r>
      <w:r>
        <w:rPr>
          <w:b/>
          <w:bCs/>
          <w:u w:val="single"/>
          <w:lang w:val="el" w:eastAsia="el"/>
        </w:rPr>
        <w:t>Εσωτερική Διανομή:</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Γραφείο Διοικητή Ανεξάρτητης Αρχής Δημοσίων Εσόδων</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Αυτοτελές Τμήμα Υποστήριξης Γεν. Δ/νσης Τελωνείων &amp; Ε.Φ.Κ.</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Γραφείο Γεν. Δ/ντή Ηλεκτρονικής Διακυβέρνησης</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Αυτοτελές Τμήμα υποστήριξης Γεν. Δ/νσης Γενικού Χημείου του Κράτους</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Διεύθυνση Ανάπτυξης Τελωνειακών, Ελεγκτικών και Επιχειρησιακών Εφαρμογών (Δ.Α.Τ.Ε.)</w:t>
      </w:r>
    </w:p>
    <w:p>
      <w:pPr>
        <w:spacing w:before="240" w:after="240"/>
        <w:rPr>
          <w:lang w:val="el" w:eastAsia="el"/>
        </w:rPr>
      </w:pPr>
      <w:r>
        <w:rPr>
          <w:b/>
          <w:bCs/>
          <w:u w:val="single"/>
          <w:lang w:val="el" w:eastAsia="el"/>
        </w:rPr>
        <w:t>Υπ/νση Ανάπτυξης Τελωνειακών Εφαρμογών</w:t>
      </w:r>
    </w:p>
    <w:p>
      <w:pPr>
        <w:pStyle w:val="MainText"/>
        <w:spacing w:before="120" w:after="0"/>
        <w:rPr>
          <w:lang w:val="el" w:eastAsia="el"/>
        </w:rPr>
      </w:pPr>
      <w:r>
        <w:rPr>
          <w:b/>
          <w:bCs/>
          <w:u w:val="single"/>
          <w:lang w:val="el" w:eastAsia="el"/>
        </w:rPr>
        <w:t>6.</w:t>
      </w:r>
      <w:r>
        <w:rPr>
          <w:b/>
          <w:bCs/>
          <w:u w:val="single"/>
          <w:lang w:val="el" w:eastAsia="el"/>
        </w:rPr>
        <w:t xml:space="preserve"> </w:t>
      </w:r>
      <w:r>
        <w:rPr>
          <w:b/>
          <w:bCs/>
          <w:u w:val="single"/>
          <w:lang w:val="el" w:eastAsia="el"/>
        </w:rPr>
        <w:t>Διεύθυνση Επιχειρησιακών Διαδικασιών</w:t>
      </w:r>
    </w:p>
    <w:p>
      <w:pPr>
        <w:spacing w:before="240" w:after="240"/>
        <w:rPr>
          <w:lang w:val="el" w:eastAsia="el"/>
        </w:rPr>
      </w:pPr>
      <w:r>
        <w:rPr>
          <w:b/>
          <w:bCs/>
          <w:u w:val="single"/>
          <w:lang w:val="el" w:eastAsia="el"/>
        </w:rPr>
        <w:t>Υπ/νση Β΄ Απαιτήσεων &amp; Ελέγχου Εφαρμογών Τελωνείων</w:t>
      </w:r>
    </w:p>
    <w:p>
      <w:pPr>
        <w:pStyle w:val="MainText"/>
        <w:spacing w:before="120" w:after="0"/>
        <w:rPr>
          <w:lang w:val="el" w:eastAsia="el"/>
        </w:rPr>
      </w:pPr>
      <w:r>
        <w:rPr>
          <w:b/>
          <w:bCs/>
          <w:u w:val="single"/>
          <w:lang w:val="el" w:eastAsia="el"/>
        </w:rPr>
        <w:t>7.</w:t>
      </w:r>
      <w:r>
        <w:rPr>
          <w:b/>
          <w:bCs/>
          <w:u w:val="single"/>
          <w:lang w:val="el" w:eastAsia="el"/>
        </w:rPr>
        <w:t xml:space="preserve"> </w:t>
      </w:r>
      <w:r>
        <w:rPr>
          <w:b/>
          <w:bCs/>
          <w:u w:val="single"/>
          <w:lang w:val="el" w:eastAsia="el"/>
        </w:rPr>
        <w:t>Δ/νση Στρατηγικής Ελέγχων &amp; Τελωνειακών Παραβάσεων</w:t>
      </w:r>
    </w:p>
    <w:p>
      <w:pPr>
        <w:pStyle w:val="MainText"/>
        <w:spacing w:before="120" w:after="0"/>
        <w:rPr>
          <w:lang w:val="el" w:eastAsia="el"/>
        </w:rPr>
      </w:pPr>
      <w:r>
        <w:rPr>
          <w:b/>
          <w:bCs/>
          <w:u w:val="single"/>
          <w:lang w:val="el" w:eastAsia="el"/>
        </w:rPr>
        <w:t>8.</w:t>
      </w:r>
      <w:r>
        <w:rPr>
          <w:b/>
          <w:bCs/>
          <w:u w:val="single"/>
          <w:lang w:val="el" w:eastAsia="el"/>
        </w:rPr>
        <w:t xml:space="preserve"> </w:t>
      </w:r>
      <w:r>
        <w:rPr>
          <w:b/>
          <w:bCs/>
          <w:u w:val="single"/>
          <w:lang w:val="el" w:eastAsia="el"/>
        </w:rPr>
        <w:t>Δ/νση Ειδικών Φόρων Κατανάλωσης &amp; ΦΠΑ</w:t>
      </w:r>
    </w:p>
    <w:p>
      <w:pPr>
        <w:pStyle w:val="MainText"/>
        <w:spacing w:before="120" w:after="0"/>
        <w:rPr>
          <w:lang w:val="el" w:eastAsia="el"/>
        </w:rPr>
      </w:pPr>
      <w:r>
        <w:rPr>
          <w:b/>
          <w:bCs/>
          <w:u w:val="single"/>
          <w:lang w:val="el" w:eastAsia="el"/>
        </w:rPr>
        <w:t>9.</w:t>
      </w:r>
      <w:r>
        <w:rPr>
          <w:b/>
          <w:bCs/>
          <w:u w:val="single"/>
          <w:lang w:val="el" w:eastAsia="el"/>
        </w:rPr>
        <w:t xml:space="preserve"> </w:t>
      </w:r>
      <w:r>
        <w:rPr>
          <w:b/>
          <w:bCs/>
          <w:u w:val="single"/>
          <w:lang w:val="el" w:eastAsia="el"/>
        </w:rPr>
        <w:t>Δνση Αλκοόλης και Τροφίμων</w:t>
      </w:r>
    </w:p>
    <w:p>
      <w:pPr>
        <w:spacing w:before="240" w:after="240"/>
        <w:rPr>
          <w:lang w:val="el" w:eastAsia="el"/>
        </w:rPr>
      </w:pPr>
      <w:r>
        <w:rPr>
          <w:b/>
          <w:bCs/>
          <w:u w:val="single"/>
          <w:lang w:val="el" w:eastAsia="el"/>
        </w:rPr>
        <w:t>ΠΑΡΑΡΤΗΜΑ Ι</w:t>
      </w:r>
    </w:p>
    <w:p>
      <w:pPr>
        <w:spacing w:before="240" w:after="240"/>
        <w:rPr>
          <w:lang w:val="el" w:eastAsia="el"/>
        </w:rPr>
      </w:pPr>
      <w:r>
        <w:rPr>
          <w:b/>
          <w:bCs/>
          <w:u w:val="single"/>
          <w:lang w:val="el" w:eastAsia="el"/>
        </w:rPr>
        <w:t>ΗΛΕΚΤΡΟΝΙΚΟ ΜΗΤΡΩΟ ΕΠΙΤΗΔΕΥΜΑΤΙΩΝ ΑΛΚΟΟΛΟΥΧΩΝ ΠΟΤΩΝ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29"/>
        <w:gridCol w:w="1004"/>
        <w:gridCol w:w="1006"/>
        <w:gridCol w:w="1558"/>
        <w:gridCol w:w="230"/>
        <w:gridCol w:w="2512"/>
        <w:gridCol w:w="653"/>
        <w:gridCol w:w="652"/>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ΔΡΑΣΤΗΡΙΟΤΗΤΕΣ/ΠΡΟΪΟΝΤΑ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ΚΩΔΙΚΟΙ ΑΡΙΘΜΟΙ ΔΡΑΣΤΗΡΙΟΤΗΤΑΣ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ΔΡΑΣΤΗΡΙΟΤΗΤΑΣ (Κύρια /Δευτερεύουσα)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 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ΗΜ/ΝΙΑ</w:t>
            </w:r>
          </w:p>
          <w:p>
            <w:pPr>
              <w:spacing w:before="240"/>
              <w:rPr>
                <w:b w:val="0"/>
                <w:bCs w:val="0"/>
                <w:i w:val="0"/>
                <w:iCs w:val="0"/>
                <w:smallCaps w:val="0"/>
                <w:color w:val="000000"/>
                <w:lang w:val="el" w:eastAsia="el"/>
              </w:rPr>
            </w:pPr>
            <w:r>
              <w:rPr>
                <w:b/>
                <w:bCs/>
                <w:i w:val="0"/>
                <w:iCs w:val="0"/>
                <w:smallCaps w:val="0"/>
                <w:color w:val="000000"/>
                <w:lang w:val="el" w:eastAsia="el"/>
              </w:rPr>
              <w:t>ΕΝΑΡΞΗΣ ΛΕΙΤΟΥΡΓΙΑΣ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ΚΑΤΑΣΤΑΣΗ ΕΠΙΧΕΙΡΗΣΗ Σ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ΕΝΕΡΓΗ Η 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ΕΓΚΑΤΑΣΤΑΣΕΙΣ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ΑΔΕΙΕΣ ΕΙΔΙΚΟΥ ΦΟΡΟΥ ΚΑΤΑΝΑΛΩΣΗΣ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ΑΔΕΙΑΣ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ΑΔΕΙΑΣ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ΕΓΚΕΚΡΙΜΕΝΟΣ ΑΠΟΘΗΚΕΥΤΗΣ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ΑΠΟΘΗΚΗ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ΕΓΓΕΓΡΑΜΜΕΝΟΣ ΠΑΡΑΛΗΠΤΗΣ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ΥΠΟΚΑΤΑΣΤΗΜ</w:t>
            </w:r>
          </w:p>
          <w:p>
            <w:pPr>
              <w:spacing w:before="240"/>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ΠΕΡΙΣΤΑΣΙΑΚΑ ΕΓΓΕΓΡΑΜΜΕΝΟΣ</w:t>
            </w:r>
          </w:p>
          <w:p>
            <w:pPr>
              <w:spacing w:before="240"/>
              <w:rPr>
                <w:b w:val="0"/>
                <w:bCs w:val="0"/>
                <w:i w:val="0"/>
                <w:iCs w:val="0"/>
                <w:smallCaps w:val="0"/>
                <w:color w:val="000000"/>
                <w:lang w:val="el" w:eastAsia="el"/>
              </w:rPr>
            </w:pPr>
            <w:r>
              <w:rPr>
                <w:b/>
                <w:bCs/>
                <w:i w:val="0"/>
                <w:iCs w:val="0"/>
                <w:smallCaps w:val="0"/>
                <w:color w:val="000000"/>
                <w:lang w:val="el" w:eastAsia="el"/>
              </w:rPr>
              <w:t>ΠΑΡΑΛΗΠΤΗΣ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(ΠΙΣΤΟΠΟΙΗΜΕΝΟΣ ΑΠΟΣΤΟΛΕΑΣ) ΑΠΟΣΤΟΛΕΑΣ ΠΡΟΪΟΝΤΩΝ ΜΕ ΑΣΔΕ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(ΠΙΣΤΟΠΟΙΗΜΕΝΟΣ ΠΑΡΑΛΗΠΤΗΣ) ΠΑΡΑΛΗΠΤΗΣ ΠΡΟΪΟΝΤΩΝ ΜΕ ΑΣΔΕ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ΑΔΕΙΑ ΑΣΚΗΣΕΩΣ ΕΠΑΓΓΕΛΜΑΤΟΣ ΠΟΤΟΠΟΙΟΥ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ΠΑΡΑΡΤΗΜΑ ΙΙ</w:t>
      </w:r>
    </w:p>
    <w:p>
      <w:pPr>
        <w:spacing w:before="240" w:after="240"/>
        <w:rPr>
          <w:lang w:val="el" w:eastAsia="el"/>
        </w:rPr>
      </w:pPr>
      <w:r>
        <w:rPr>
          <w:b/>
          <w:bCs/>
          <w:u w:val="single"/>
          <w:lang w:val="el" w:eastAsia="el"/>
        </w:rPr>
        <w:t>ΗΛΕΚΤΡΟΝΙΚΟ ΣΥΣΤΗΜΑ ΤΑΥΤΟΠΟΙΗΣΗΣ ΑΛΚΟΟΛΟΥΧΩΝ ΠΟΤΩΝ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50"/>
        <w:gridCol w:w="2049"/>
        <w:gridCol w:w="1850"/>
        <w:gridCol w:w="1620"/>
        <w:gridCol w:w="1761"/>
        <w:gridCol w:w="21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ΕΠΙΤΗΔΕΥΜΑΤΙΑ ΑΛΚΟΟΛΟΥΧΩΝ ΠΟΤΩΝ</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ΝΟΜΙΜΗ ΟΝΟΜΑΣΙΑ ΠΡΟΪΟΝΤΟΣ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ΕΜΠΟΡΙΚΗ ΟΝΟΜΑΣΙΑ ΠΡΟΪΟΝΤΟΣ (και τυχόν άλλες διακριτικές ενδείξεις)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ΕΝΔΕΙΞΗ ΠΑΡΤΙΔΑΣ ΠΡΟΪΟΝΤΟΣ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Εισερχόμενα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Εξερχόμενα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Καταχώρηση Ύποπτου LOT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ΣΥΝΑΛΛΑΓΗΣ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Παραγωγή/</w:t>
            </w:r>
          </w:p>
          <w:p>
            <w:pPr>
              <w:spacing w:before="240" w:after="240"/>
              <w:rPr>
                <w:b w:val="0"/>
                <w:bCs w:val="0"/>
                <w:i w:val="0"/>
                <w:iCs w:val="0"/>
                <w:smallCaps w:val="0"/>
                <w:color w:val="000000"/>
                <w:lang w:val="el" w:eastAsia="el"/>
              </w:rPr>
            </w:pPr>
            <w:r>
              <w:rPr>
                <w:b/>
                <w:bCs/>
                <w:i w:val="0"/>
                <w:iCs w:val="0"/>
                <w:smallCaps w:val="0"/>
                <w:color w:val="000000"/>
                <w:lang w:val="el" w:eastAsia="el"/>
              </w:rPr>
              <w:t>Μεταποίηση</w:t>
            </w:r>
          </w:p>
          <w:p>
            <w:pPr>
              <w:spacing w:before="240"/>
              <w:rPr>
                <w:b w:val="0"/>
                <w:bCs w:val="0"/>
                <w:i w:val="0"/>
                <w:iCs w:val="0"/>
                <w:smallCaps w:val="0"/>
                <w:color w:val="000000"/>
                <w:lang w:val="el" w:eastAsia="el"/>
              </w:rPr>
            </w:pPr>
            <w:r>
              <w:rPr>
                <w:b/>
                <w:bCs/>
                <w:i w:val="0"/>
                <w:iCs w:val="0"/>
                <w:smallCaps w:val="0"/>
                <w:color w:val="000000"/>
                <w:lang w:val="el" w:eastAsia="el"/>
              </w:rPr>
              <w:t>Αγορά/Επιστροφή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ΣΥΝΑΛΛΑΓΗΣ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Πώληση / Αποστολή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ΣΥΝΑΛΛΑΓΗΣ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ΣΥΝΑΛΛΑΓΗΣ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ΠΟΣΟΤΗΤΑ ΠΡΟΪΟΝΤΟΣ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συσκευασιών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ΠΟΣΟΤΗΤΑ ΠΡΟΪΟΝΤΟΣ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συσκευασιών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Ονομαστική ποσότητα μονάδας συσκευασία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Ονομαστική ποσότητα μονάδας συσκευασία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ΠΑΡΑΣΤΑΤΙΚΟΥ ΕΙΣΟΔΟΥ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Δελτίο παραγωγής Δελτίο αποστολής</w:t>
            </w:r>
          </w:p>
          <w:p>
            <w:pPr>
              <w:spacing w:before="240" w:after="240"/>
              <w:rPr>
                <w:b w:val="0"/>
                <w:bCs w:val="0"/>
                <w:i w:val="0"/>
                <w:iCs w:val="0"/>
                <w:smallCaps w:val="0"/>
                <w:color w:val="000000"/>
                <w:lang w:val="el" w:eastAsia="el"/>
              </w:rPr>
            </w:pPr>
            <w:r>
              <w:rPr>
                <w:b/>
                <w:bCs/>
                <w:i w:val="0"/>
                <w:iCs w:val="0"/>
                <w:smallCaps w:val="0"/>
                <w:color w:val="000000"/>
                <w:lang w:val="el" w:eastAsia="el"/>
              </w:rPr>
              <w:t>Τιμολόγιο</w:t>
            </w:r>
          </w:p>
          <w:p>
            <w:pPr>
              <w:spacing w:before="240"/>
              <w:rPr>
                <w:b w:val="0"/>
                <w:bCs w:val="0"/>
                <w:i w:val="0"/>
                <w:iCs w:val="0"/>
                <w:smallCaps w:val="0"/>
                <w:color w:val="000000"/>
                <w:lang w:val="el" w:eastAsia="el"/>
              </w:rPr>
            </w:pPr>
            <w:r>
              <w:rPr>
                <w:b/>
                <w:bCs/>
                <w:i w:val="0"/>
                <w:iCs w:val="0"/>
                <w:smallCaps w:val="0"/>
                <w:color w:val="000000"/>
                <w:lang w:val="el" w:eastAsia="el"/>
              </w:rPr>
              <w:t>e-ΔΕ Διασάφηση Εισαγωγής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ΠΑΡΑΣΤΑΤΙΚΟΥ ΕΙΣΟΔΟΥ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Δελτίο αποστολής Τιμολόγιο e-ΔΕ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ΠΑΡΑΣΤΑΤΙΚΟΥ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ΠΑΡΑΣΤΑΤΙΚΟΥ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ΠΡΟΜΗΘΕΥΤΗ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ΠΑΡΑΛΗΠΤΗ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ΤΟΠΟΣ ΠΑΡΑΔΟΣΗΣ ΠΡΟΪΟΝΤΩΝ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ΠΑΡΑΡΤΗΜΑ ΙΙΙ</w:t>
      </w:r>
    </w:p>
    <w:p>
      <w:pPr>
        <w:spacing w:before="240" w:after="240"/>
        <w:rPr>
          <w:lang w:val="el" w:eastAsia="el"/>
        </w:rPr>
      </w:pPr>
      <w:r>
        <w:rPr>
          <w:b/>
          <w:bCs/>
          <w:u w:val="single"/>
          <w:lang w:val="el" w:eastAsia="el"/>
        </w:rPr>
        <w:t>ΚΑΤΑΧΩΡΗΣΗ ΥΠΟΠΤΗΣ ΕΝΔΕΙΞΗΣ ΠΑΡΤΙΔΑΣ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ΕΠΙΤΗΔΕΥΜΑΤΙΑ ΑΛΚΟΟΛΟΥΧΩΝ ΠΟΤΩΝ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ΝΟΜΙΜΗ ΟΝΟΜΑΣΙΑ ΠΡΟΪΟΝΤΟΣ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ΕΜΠΟΡΙΚΗ ΟΝΟΜΑΣΙΑ ΠΡΟΪΟΝΤΟΣ (και τυχόν διακριτικές ενδείξεις)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ΕΝΔΕΙΞΗ ΠΑΡΤΙΔΑΣ ΠΡΟΪΟΝΤΟΣ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Καταχώρηση Ύποπτης ένδειξης παρτίδας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ΚΑΤΑΧΩΡΙΣΗΣ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dstepdrugs@aade.gr" TargetMode="External" /><Relationship Id="rId6" Type="http://schemas.openxmlformats.org/officeDocument/2006/relationships/hyperlink" Target="mailto:dat.gcsl@aade.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