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I.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ΕΛΕΓΧΩΝ ΤΜΗΜΑ ΙΑ΄</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ΥΠΗΡΕΣΙΩΝ ΔΕΔΟΜΕΝΩΝ ΤΜΗΜΑ Γ΄</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Χανδρή 1 &amp; Θεσ/νίκης Ταχ. Κώδ. : 183 46, Μοσχάτο</w:t>
      </w:r>
    </w:p>
    <w:p>
      <w:pPr>
        <w:spacing w:before="240" w:after="240"/>
        <w:rPr>
          <w:lang w:val="el" w:eastAsia="el"/>
        </w:rPr>
      </w:pPr>
      <w:r>
        <w:rPr>
          <w:b/>
          <w:bCs/>
          <w:lang w:val="el" w:eastAsia="el"/>
        </w:rPr>
        <w:t>Τηλέφωνα : 210 4802873,</w:t>
      </w:r>
    </w:p>
    <w:p>
      <w:pPr>
        <w:spacing w:before="240" w:after="240"/>
        <w:rPr>
          <w:lang w:val="el" w:eastAsia="el"/>
        </w:rPr>
      </w:pPr>
      <w:r>
        <w:rPr>
          <w:b/>
          <w:bCs/>
          <w:lang w:val="el" w:eastAsia="el"/>
        </w:rPr>
        <w:t>210 4802243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d.eleg11@aade.gr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1100330 / 1954 / ΔΜ /</w:t>
      </w:r>
    </w:p>
    <w:p>
      <w:pPr>
        <w:spacing w:before="240" w:after="240"/>
        <w:rPr>
          <w:lang w:val="el" w:eastAsia="el"/>
        </w:rPr>
      </w:pPr>
      <w:r>
        <w:rPr>
          <w:b/>
          <w:bCs/>
          <w:lang w:val="el" w:eastAsia="el"/>
        </w:rPr>
        <w:t>ΠΟΛ 1133 / 06-10-2008 απόφασης του Υπουργού Οικονομίας και Οικονομικών</w:t>
      </w:r>
    </w:p>
    <w:p>
      <w:pPr>
        <w:spacing w:before="240" w:after="240"/>
        <w:rPr>
          <w:lang w:val="el" w:eastAsia="el"/>
        </w:rPr>
      </w:pPr>
      <w:r>
        <w:rPr>
          <w:b/>
          <w:bCs/>
          <w:lang w:val="el" w:eastAsia="el"/>
        </w:rPr>
        <w:t>«Καθορισμός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β)</w:t>
      </w:r>
      <w:r>
        <w:rPr>
          <w:lang w:val="en" w:eastAsia="en"/>
        </w:rPr>
        <w:tab/>
      </w:r>
      <w:r>
        <w:rPr>
          <w:b/>
          <w:bCs/>
          <w:lang w:val="el" w:eastAsia="el"/>
        </w:rPr>
        <w:t>των άρθρων 4, 10, 11 και 15, της παρ. 2 του άρθρου 18 και της παρ. 3 του άρθρου 19 του ν.4174/2013 «Φορολογικές διαδικασίες και άλλες διατάξεις» (Α΄170),</w:t>
      </w:r>
    </w:p>
    <w:p>
      <w:pPr>
        <w:pStyle w:val="StructureList1"/>
        <w:spacing w:before="120" w:after="0"/>
        <w:rPr>
          <w:lang w:val="el" w:eastAsia="el"/>
        </w:rPr>
      </w:pPr>
      <w:r>
        <w:rPr>
          <w:lang w:val="el" w:eastAsia="el"/>
        </w:rPr>
        <w:t>γ)</w:t>
      </w:r>
      <w:r>
        <w:rPr>
          <w:lang w:val="en" w:eastAsia="en"/>
        </w:rPr>
        <w:tab/>
      </w:r>
      <w:r>
        <w:rPr>
          <w:b/>
          <w:bCs/>
          <w:lang w:val="el" w:eastAsia="el"/>
        </w:rPr>
        <w:t>του πρώτου εδαφίου των παρ. 1 και 2 του άρθρου 36 του Κώδικα Φόρου Προστιθεμένης Αξίας (ν.2859/2000, Α΄248),</w:t>
      </w:r>
    </w:p>
    <w:p>
      <w:pPr>
        <w:pStyle w:val="StructureList1"/>
        <w:spacing w:before="120" w:after="0"/>
        <w:rPr>
          <w:lang w:val="el" w:eastAsia="el"/>
        </w:rPr>
      </w:pPr>
      <w:r>
        <w:rPr>
          <w:lang w:val="el" w:eastAsia="el"/>
        </w:rPr>
        <w:t>δ)</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ε)</w:t>
      </w:r>
      <w:r>
        <w:rPr>
          <w:lang w:val="en" w:eastAsia="en"/>
        </w:rPr>
        <w:tab/>
      </w:r>
      <w:r>
        <w:rPr>
          <w:b/>
          <w:bCs/>
          <w:lang w:val="el" w:eastAsia="el"/>
        </w:rPr>
        <w:t>του κεφ. Ε’ του μέρους Β’ του ν.4849/2021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(Α’ 207),</w:t>
      </w:r>
    </w:p>
    <w:p>
      <w:pPr>
        <w:pStyle w:val="StructureList1"/>
        <w:spacing w:before="120" w:after="0"/>
        <w:rPr>
          <w:lang w:val="el" w:eastAsia="el"/>
        </w:rPr>
      </w:pPr>
      <w:r>
        <w:rPr>
          <w:lang w:val="el" w:eastAsia="el"/>
        </w:rPr>
        <w:t>στ)</w:t>
      </w:r>
      <w:r>
        <w:rPr>
          <w:lang w:val="en" w:eastAsia="en"/>
        </w:rPr>
        <w:tab/>
      </w:r>
      <w:r>
        <w:rPr>
          <w:b/>
          <w:bCs/>
          <w:lang w:val="el" w:eastAsia="el"/>
        </w:rPr>
        <w:t>του άρθρου 73 του ν.4796/2021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άλλες διατάξεις για την ενίσχυση της ανάπτυξης και άλλες επείγουσες ρυθμίσεις» (Α’ 63),</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Δ.ΟΡΓ. Α 1115805 ΕΞ 2017/31-07-2017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(Β΄2743).</w:t>
      </w:r>
    </w:p>
    <w:p>
      <w:pPr>
        <w:spacing w:before="240" w:after="240"/>
        <w:rPr>
          <w:lang w:val="el" w:eastAsia="el"/>
        </w:rPr>
      </w:pPr>
      <w:r>
        <w:rPr>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επικαιροποίησης της Εθνικής Ονοματολογίας Οικονομικών Δραστηριοτήτων.</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(Β΄2149) απόφασης, τροποποιείται ως κάτωθι: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1Προσθήκη νέων Κ.Α.Δ.</w:t>
      </w:r>
    </w:p>
    <w:p>
      <w:pPr>
        <w:spacing w:before="240" w:after="240"/>
        <w:rPr>
          <w:lang w:val="el" w:eastAsia="el"/>
        </w:rPr>
      </w:pPr>
      <w:r>
        <w:rPr>
          <w:b/>
          <w:bCs/>
          <w:lang w:val="el" w:eastAsia="el"/>
        </w:rPr>
        <w:t>Προστίθενται οι ακόλουθοι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70.22.11.06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εσωτερικού ελέγχου στον ιδιωτικό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86.90.19.15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καταπολέμησης φθειρών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93.19.13.07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εκμετάλλευσης ελεγχόμενων κυνηγετικών περιοχών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93.29.19.10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διαδραστικής ψυχαγωγικής δραστηριότητας «δωμάτια απόδρασης» (escape rooms)</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lang w:val="el" w:eastAsia="el"/>
        </w:rPr>
        <w:t xml:space="preserve">5.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6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lang w:val="el" w:eastAsia="el"/>
        </w:rPr>
        <w:t xml:space="preserve">10.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και Προστασίας Καταναλωτή Γενική Διεύθυνση Αγοράς</w:t>
      </w:r>
    </w:p>
    <w:p>
      <w:pPr>
        <w:spacing w:before="240" w:after="240"/>
        <w:rPr>
          <w:lang w:val="el" w:eastAsia="el"/>
        </w:rPr>
      </w:pPr>
      <w:r>
        <w:rPr>
          <w:b/>
          <w:bCs/>
          <w:lang w:val="el" w:eastAsia="el"/>
        </w:rPr>
        <w:t>Διεύθυνση Θεσμικών Ρυθμίσεων Εμπορίου</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nkalogeropoulou@gge.gr</w:t>
        </w:r>
      </w:hyperlink>
      <w:r>
        <w:rPr>
          <w:b/>
          <w:bCs/>
          <w:lang w:val="el" w:eastAsia="el"/>
        </w:rPr>
        <w:t xml:space="preserve"> / </w:t>
      </w:r>
      <w:hyperlink r:id="rId7" w:history="1">
        <w:r>
          <w:rPr>
            <w:rStyle w:val="Hyperlink"/>
            <w:b/>
            <w:bCs/>
            <w:color w:val="0000EE"/>
            <w:u w:color="0000EE"/>
            <w:lang w:val="el" w:eastAsia="el"/>
          </w:rPr>
          <w:t>mourtsiadisa@gge.gr</w:t>
        </w:r>
      </w:hyperlink>
    </w:p>
    <w:p>
      <w:pPr>
        <w:spacing w:before="240" w:after="240"/>
        <w:rPr>
          <w:lang w:val="el" w:eastAsia="el"/>
        </w:rPr>
      </w:pPr>
      <w:r>
        <w:rPr>
          <w:lang w:val="el" w:eastAsia="el"/>
        </w:rPr>
        <w:t xml:space="preserve">11. </w:t>
      </w:r>
      <w:r>
        <w:rPr>
          <w:b/>
          <w:bCs/>
          <w:lang w:val="el" w:eastAsia="el"/>
        </w:rPr>
        <w:t>Υπουργείο Περιβάλλοντος και Ενέργειας</w:t>
      </w:r>
    </w:p>
    <w:p>
      <w:pPr>
        <w:spacing w:before="240" w:after="240"/>
        <w:rPr>
          <w:lang w:val="el" w:eastAsia="el"/>
        </w:rPr>
      </w:pPr>
      <w:r>
        <w:rPr>
          <w:b/>
          <w:bCs/>
          <w:lang w:val="el" w:eastAsia="el"/>
        </w:rPr>
        <w:t>Γενική Γραμματεία Χωρικού Σχεδιασμού και Αστικού Περιβάλλοντος Γενική Διεύθυνση Πολεοδομίας</w:t>
      </w:r>
    </w:p>
    <w:p>
      <w:pPr>
        <w:spacing w:before="240" w:after="240"/>
        <w:rPr>
          <w:lang w:val="el" w:eastAsia="el"/>
        </w:rPr>
      </w:pPr>
      <w:r>
        <w:rPr>
          <w:b/>
          <w:bCs/>
          <w:lang w:val="el" w:eastAsia="el"/>
        </w:rPr>
        <w:t>Διεύθυνση Πολεοδομικού Σχεδιασμού</w:t>
      </w:r>
    </w:p>
    <w:p>
      <w:pPr>
        <w:spacing w:before="240" w:after="240"/>
        <w:rPr>
          <w:lang w:val="el" w:eastAsia="el"/>
        </w:rPr>
      </w:pPr>
      <w:r>
        <w:rPr>
          <w:b/>
          <w:bCs/>
          <w:lang w:val="el" w:eastAsia="el"/>
        </w:rPr>
        <w:t xml:space="preserve">E-mail: </w:t>
      </w:r>
      <w:hyperlink r:id="rId8" w:history="1">
        <w:r>
          <w:rPr>
            <w:rStyle w:val="Hyperlink"/>
            <w:b/>
            <w:bCs/>
            <w:color w:val="0000EE"/>
            <w:u w:color="0000EE"/>
            <w:lang w:val="el" w:eastAsia="el"/>
          </w:rPr>
          <w:t>gramchora@ypen.gr</w:t>
        </w:r>
      </w:hyperlink>
    </w:p>
    <w:p>
      <w:pPr>
        <w:spacing w:before="240" w:after="240"/>
        <w:rPr>
          <w:lang w:val="el" w:eastAsia="el"/>
        </w:rPr>
      </w:pPr>
      <w:r>
        <w:rPr>
          <w:lang w:val="el" w:eastAsia="el"/>
        </w:rPr>
        <w:t xml:space="preserve">12.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 Τμήμα 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lang w:val="el" w:eastAsia="el"/>
        </w:rPr>
        <w:t xml:space="preserve">13. </w:t>
      </w:r>
      <w:r>
        <w:rPr>
          <w:b/>
          <w:bCs/>
          <w:lang w:val="el" w:eastAsia="el"/>
        </w:rPr>
        <w:t>Οικονομικό Επιμελητήριο της Ελλάδας</w:t>
      </w:r>
    </w:p>
    <w:p>
      <w:pPr>
        <w:spacing w:before="240" w:after="240"/>
        <w:rPr>
          <w:lang w:val="el" w:eastAsia="el"/>
        </w:rPr>
      </w:pPr>
      <w:r>
        <w:rPr>
          <w:b/>
          <w:bCs/>
          <w:lang w:val="el" w:eastAsia="el"/>
        </w:rPr>
        <w:t>Μητροπόλεως 12-14</w:t>
      </w:r>
    </w:p>
    <w:p>
      <w:pPr>
        <w:spacing w:before="240" w:after="240"/>
        <w:rPr>
          <w:lang w:val="el" w:eastAsia="el"/>
        </w:rPr>
      </w:pPr>
      <w:r>
        <w:rPr>
          <w:b/>
          <w:bCs/>
          <w:lang w:val="el" w:eastAsia="el"/>
        </w:rPr>
        <w:t>Τ.Κ. 10563, Αθήνα</w:t>
      </w:r>
    </w:p>
    <w:p>
      <w:pPr>
        <w:spacing w:before="240" w:after="240"/>
        <w:rPr>
          <w:lang w:val="el" w:eastAsia="el"/>
        </w:rPr>
      </w:pPr>
      <w:r>
        <w:rPr>
          <w:lang w:val="el" w:eastAsia="el"/>
        </w:rPr>
        <w:t xml:space="preserve">14. </w:t>
      </w:r>
      <w:r>
        <w:rPr>
          <w:b/>
          <w:bCs/>
          <w:lang w:val="el" w:eastAsia="el"/>
        </w:rPr>
        <w:t>Lice Clinics of Greece</w:t>
      </w:r>
    </w:p>
    <w:p>
      <w:pPr>
        <w:spacing w:before="240" w:after="240"/>
        <w:rPr>
          <w:lang w:val="el" w:eastAsia="el"/>
        </w:rPr>
      </w:pPr>
      <w:r>
        <w:rPr>
          <w:b/>
          <w:bCs/>
          <w:lang w:val="el" w:eastAsia="el"/>
        </w:rPr>
        <w:t xml:space="preserve">E-mail: </w:t>
      </w:r>
      <w:hyperlink r:id="rId9" w:history="1">
        <w:r>
          <w:rPr>
            <w:rStyle w:val="Hyperlink"/>
            <w:b/>
            <w:bCs/>
            <w:color w:val="0000EE"/>
            <w:u w:color="0000EE"/>
            <w:lang w:val="el" w:eastAsia="el"/>
          </w:rPr>
          <w:t>glyfada@liceclinics.gr</w:t>
        </w:r>
      </w:hyperlink>
    </w:p>
    <w:p>
      <w:pPr>
        <w:spacing w:before="240" w:after="240"/>
        <w:rPr>
          <w:lang w:val="el" w:eastAsia="el"/>
        </w:rPr>
      </w:pPr>
      <w:r>
        <w:rPr>
          <w:lang w:val="el" w:eastAsia="el"/>
        </w:rPr>
        <w:t xml:space="preserve">15. </w:t>
      </w:r>
      <w:r>
        <w:rPr>
          <w:b/>
          <w:bCs/>
          <w:lang w:val="el" w:eastAsia="el"/>
        </w:rPr>
        <w:t>Κτήμα Άνοιξης Γρεβενών ΑΕ</w:t>
      </w:r>
    </w:p>
    <w:p>
      <w:pPr>
        <w:spacing w:before="240" w:after="240"/>
        <w:rPr>
          <w:lang w:val="el" w:eastAsia="el"/>
        </w:rPr>
      </w:pPr>
      <w:r>
        <w:rPr>
          <w:b/>
          <w:bCs/>
          <w:lang w:val="el" w:eastAsia="el"/>
        </w:rPr>
        <w:t xml:space="preserve">E-mail: </w:t>
      </w:r>
      <w:hyperlink r:id="rId10" w:history="1">
        <w:r>
          <w:rPr>
            <w:rStyle w:val="Hyperlink"/>
            <w:b/>
            <w:bCs/>
            <w:color w:val="0000EE"/>
            <w:u w:color="0000EE"/>
            <w:lang w:val="el" w:eastAsia="el"/>
          </w:rPr>
          <w:t>info@anoixisfarm.gr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Προϊσταμένης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Υπηρεσιών Δεδομένων/Τμήμα Γ΄</w:t>
      </w:r>
    </w:p>
    <w:p>
      <w:pPr>
        <w:spacing w:before="240" w:after="240"/>
        <w:rPr>
          <w:lang w:val="el" w:eastAsia="el"/>
        </w:rPr>
      </w:pPr>
      <w:r>
        <w:rPr>
          <w:lang w:val="el" w:eastAsia="el"/>
        </w:rPr>
        <w:t xml:space="preserve">5.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7.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noixisfarm.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mailto:nkalogeropoulou@gge.gr" TargetMode="External" /><Relationship Id="rId7" Type="http://schemas.openxmlformats.org/officeDocument/2006/relationships/hyperlink" Target="mailto:mourtsiadisa@gge.gr" TargetMode="External" /><Relationship Id="rId8" Type="http://schemas.openxmlformats.org/officeDocument/2006/relationships/hyperlink" Target="mailto:gramchora@ypen.gr" TargetMode="External" /><Relationship Id="rId9" Type="http://schemas.openxmlformats.org/officeDocument/2006/relationships/hyperlink" Target="mailto:glyfada@liceclinic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