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2513/2/13-δ’</w:t>
      </w:r>
    </w:p>
    <w:p>
      <w:pPr>
        <w:pStyle w:val="PreambelText"/>
        <w:spacing w:before="240" w:after="240"/>
        <w:rPr>
          <w:lang w:val="el" w:eastAsia="el"/>
        </w:rPr>
      </w:pPr>
      <w:r>
        <w:rPr>
          <w:b/>
          <w:bCs/>
          <w:lang w:val="el" w:eastAsia="el"/>
        </w:rPr>
        <w:t>Ηλεκτρονική υπηρεσία για την ανανέωση άδειας κυκλοφορίας μοτοποδηλάτου.</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ΠΡΟΣΤΑΣΙΑΣ ΤΟΥ ΠΟΛΙΤΗ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88 του Κώδικα Οδικής Κυκλοφορίας που κυρώθηκε με το άρθρο πρώτο του ν. 2696/1999 (Α’ 57) και ιδίως η παρ. 2 αυτού,</w:t>
      </w:r>
    </w:p>
    <w:p>
      <w:pPr>
        <w:pStyle w:val="StructureList1"/>
        <w:spacing w:before="120" w:after="0"/>
        <w:rPr>
          <w:lang w:val="el" w:eastAsia="el"/>
        </w:rPr>
      </w:pPr>
      <w:r>
        <w:rPr>
          <w:lang w:val="el" w:eastAsia="el"/>
        </w:rPr>
        <w:t>β)</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Κεφ. Στ’ του Μέρους Α’ και της παρ. 19 του άρθρου 107,</w:t>
      </w:r>
    </w:p>
    <w:p>
      <w:pPr>
        <w:pStyle w:val="StructureList1"/>
        <w:spacing w:before="120" w:after="0"/>
        <w:rPr>
          <w:lang w:val="el" w:eastAsia="el"/>
        </w:rPr>
      </w:pPr>
      <w:r>
        <w:rPr>
          <w:lang w:val="el" w:eastAsia="el"/>
        </w:rPr>
        <w:t>γ)</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δ)</w:t>
      </w:r>
      <w:r>
        <w:rPr>
          <w:lang w:val="en" w:eastAsia="en"/>
        </w:rPr>
        <w:tab/>
      </w:r>
      <w:r>
        <w:rPr>
          <w:lang w:val="el" w:eastAsia="el"/>
        </w:rPr>
        <w:t>των άρθρων 16 και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ε)</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η)</w:t>
      </w:r>
      <w:r>
        <w:rPr>
          <w:lang w:val="en" w:eastAsia="en"/>
        </w:rPr>
        <w:tab/>
      </w:r>
      <w:r>
        <w:rPr>
          <w:lang w:val="el" w:eastAsia="el"/>
        </w:rPr>
        <w:t>του π.δ. 178/2014 «Οργάνωση Υπηρεσιών Ελληνικής Αστυνομίας» (Α’ 281),</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 διόρθωση σφάλματος Α’ 126),</w:t>
      </w:r>
    </w:p>
    <w:p>
      <w:pPr>
        <w:pStyle w:val="StructureList1"/>
        <w:spacing w:before="120" w:after="0"/>
        <w:rPr>
          <w:lang w:val="el" w:eastAsia="el"/>
        </w:rPr>
      </w:pPr>
      <w:r>
        <w:rPr>
          <w:lang w:val="el" w:eastAsia="el"/>
        </w:rPr>
        <w:t>ι)</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ια)</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436/1974 «Περί τελών Κυκλοφορίας Μοτοποδηλάτων» (Α’ 153),</w:t>
      </w:r>
    </w:p>
    <w:p>
      <w:pPr>
        <w:pStyle w:val="StructureList1"/>
        <w:spacing w:before="120" w:after="0"/>
        <w:rPr>
          <w:lang w:val="el" w:eastAsia="el"/>
        </w:rPr>
      </w:pPr>
      <w:r>
        <w:rPr>
          <w:lang w:val="el" w:eastAsia="el"/>
        </w:rPr>
        <w:t>ιγ)</w:t>
      </w:r>
      <w:r>
        <w:rPr>
          <w:lang w:val="en" w:eastAsia="en"/>
        </w:rPr>
        <w:tab/>
      </w:r>
      <w:r>
        <w:rPr>
          <w:lang w:val="el" w:eastAsia="el"/>
        </w:rPr>
        <w:t>Του άρθρου 10 του α.ν. 236/1967 (Α’ 238).</w:t>
      </w:r>
    </w:p>
    <w:p>
      <w:pPr>
        <w:pStyle w:val="PreambelText"/>
        <w:spacing w:before="240" w:after="240"/>
        <w:rPr>
          <w:lang w:val="el" w:eastAsia="el"/>
        </w:rPr>
      </w:pPr>
      <w:r>
        <w:rPr>
          <w:lang w:val="el" w:eastAsia="el"/>
        </w:rPr>
        <w:t>2.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 αρ. 80/18.07.2019 κοινή απόφαση του Πρωθυπουργού και του Υπουργού Προστασίας του Πολίτη «Ανάθεση αρμοδιοτήτων στον Υφυπουργό Προστασίας του Πολίτη, Ελευθέριο Οικονόμου» (Β’ 3058).</w:t>
      </w:r>
    </w:p>
    <w:p>
      <w:pPr>
        <w:pStyle w:val="PreambelText"/>
        <w:spacing w:before="240" w:after="240"/>
        <w:rPr>
          <w:lang w:val="el" w:eastAsia="el"/>
        </w:rPr>
      </w:pPr>
      <w:r>
        <w:rPr>
          <w:lang w:val="el" w:eastAsia="el"/>
        </w:rPr>
        <w:t>4. Την υπό στοιχεία 2513/2/218-ιδ/11/29.07.2011 απόφαση του Υπουργού Προστασίας του Πολίτη «Διαδικασία χορήγησης αδειών κυκλοφορίας και πινακίδων αριθμού κυκλοφορίας μοτοποδηλάτων» (Β’ 1917).</w:t>
      </w:r>
    </w:p>
    <w:p>
      <w:pPr>
        <w:pStyle w:val="PreambelText"/>
        <w:spacing w:before="240" w:after="240"/>
        <w:rPr>
          <w:lang w:val="el" w:eastAsia="el"/>
        </w:rPr>
      </w:pPr>
      <w:r>
        <w:rPr>
          <w:lang w:val="el" w:eastAsia="el"/>
        </w:rPr>
        <w:t>5.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6. Την υπό στοιχεία Μ.228/7/πολ.9/10-01-1968 (Β’ 35) απόφαση του Υπουργού Οικονομικών.</w:t>
      </w:r>
    </w:p>
    <w:p>
      <w:pPr>
        <w:pStyle w:val="PreambelText"/>
        <w:spacing w:before="240" w:after="240"/>
        <w:rPr>
          <w:lang w:val="el" w:eastAsia="el"/>
        </w:rPr>
      </w:pPr>
      <w:r>
        <w:rPr>
          <w:lang w:val="el" w:eastAsia="el"/>
        </w:rPr>
        <w:t>7. Τα αιτήματα παροχής διαλειτουργικότητας υπ’ αρ. AA 3974, 9631, 9632, 9633 προς το Κέντρο Διαλειτουργικότητας της Γενικής Γραμματείας Πληροφοριακών Συστημάτων Δημόσιας Διοίκησης του Υπουργείου Ψηφιακής Διακυβέρνησης.</w:t>
      </w:r>
    </w:p>
    <w:p>
      <w:pPr>
        <w:pStyle w:val="PreambelText"/>
        <w:spacing w:before="240" w:after="240"/>
        <w:rPr>
          <w:lang w:val="el" w:eastAsia="el"/>
        </w:rPr>
      </w:pPr>
      <w:r>
        <w:rPr>
          <w:lang w:val="el" w:eastAsia="el"/>
        </w:rPr>
        <w:t>8. Την υπό στοιχεία 3981 ΕΞ 2020/25-02-2020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9. Την υπό στοιχεία 29810 ΕΞ 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10. Την υπό στοιχεία 5620 ΕΞ 2021/26-2-2021 απόφαση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 ΕΨΠ) καθώς και για τη χρήση των θυρίδων φορέων και χρηστών που τηρούνται σε αυτή» (Β’ 849).</w:t>
      </w:r>
    </w:p>
    <w:p>
      <w:pPr>
        <w:pStyle w:val="PreambelText"/>
        <w:spacing w:before="240" w:after="240"/>
        <w:rPr>
          <w:lang w:val="el" w:eastAsia="el"/>
        </w:rPr>
      </w:pPr>
      <w:r>
        <w:rPr>
          <w:lang w:val="el" w:eastAsia="el"/>
        </w:rPr>
        <w:t>11. Την υπ’ αρ. 246/08-03-2021 κοινή απόφαση των Υπουργών Προστασίας του Πολίτη και Επικρατείας «Τήρηση θυρίδων της Ελληνικής Αστυνομίας στην Ενιαία Ψηφιακή Πύλη της Δημόσιας Διοίκησης (gov.gr- ΕΨΠ)» (Β’ 968).</w:t>
      </w:r>
    </w:p>
    <w:p>
      <w:pPr>
        <w:pStyle w:val="PreambelText"/>
        <w:spacing w:before="240" w:after="240"/>
        <w:rPr>
          <w:lang w:val="el" w:eastAsia="el"/>
        </w:rPr>
      </w:pPr>
      <w:r>
        <w:rPr>
          <w:lang w:val="el" w:eastAsia="el"/>
        </w:rPr>
        <w:t>12. Την ανάγκη απλούστευσης της διαδικασίας ανανέωσης αδειών κυκλοφορίας μοτοποδηλάτου, μέσω της ηλεκτρονικής υποβολής της, με σκοπό τη μείωση της γραφειοκρατίας και την παροχή ποιοτικότερων, αρτιότερων και ταχύτερων υπηρεσιών στα φυσικά πρόσωπα για την εξυπηρέτησή τους και τη βελτίωση της καθημερινότητας τους.</w:t>
      </w:r>
    </w:p>
    <w:p>
      <w:pPr>
        <w:pStyle w:val="PreambelText"/>
        <w:spacing w:before="240" w:after="240"/>
        <w:rPr>
          <w:lang w:val="el" w:eastAsia="el"/>
        </w:rPr>
      </w:pPr>
      <w:r>
        <w:rPr>
          <w:lang w:val="el" w:eastAsia="el"/>
        </w:rPr>
        <w:t>13. Την υπό στοιχεία 8000/1/2022/2-β’/13-1-2022 εισήγηση του Προϊσταμένου Γενικής Διεύθυνσης Οικονομικών Υπηρεσιών και Επιτελικού Σχεδιασμού του Υπουργείου Προστασίας του Πολίτη [εδάφιο ε’ της παρ. 5 του άρθρου 24 του ν. 4270/2014 (Α’ 143), όπως αντικαταστάθηκε με την παρ. 1 του άρθρου 34 του ν. 4484/2017 (Α’ 110)], από την οποία προκύπτει ότι δεν προκαλείται οικονομική επιβάρυνση σε βάρος του τακτικού προϋπολογισμού (Π/Υ) του Υπουργείου Προστασίας του Πολίτη,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Ηλεκτρονική αίτηση ανανέωσης</w:t>
      </w:r>
    </w:p>
    <w:p>
      <w:pPr>
        <w:spacing w:before="240" w:after="240"/>
        <w:rPr>
          <w:lang w:val="el" w:eastAsia="el"/>
        </w:rPr>
      </w:pPr>
      <w:r>
        <w:rPr>
          <w:lang w:val="el" w:eastAsia="el"/>
        </w:rPr>
        <w:t>άδειας κυκλοφορίας μοτοποδηλάτου</w:t>
      </w:r>
    </w:p>
    <w:p>
      <w:pPr>
        <w:pStyle w:val="MainText"/>
        <w:spacing w:before="120" w:after="0"/>
        <w:rPr>
          <w:lang w:val="el" w:eastAsia="el"/>
        </w:rPr>
      </w:pPr>
      <w:r>
        <w:rPr>
          <w:b/>
          <w:bCs/>
          <w:lang w:val="el" w:eastAsia="el"/>
        </w:rPr>
        <w:t>1.</w:t>
      </w:r>
      <w:r>
        <w:rPr>
          <w:lang w:val="el" w:eastAsia="el"/>
        </w:rPr>
        <w:t xml:space="preserve"> Η αίτηση ανανέωσης άδειας κυκλοφορίας μοτοποδηλάτου δύναται να υποβάλλεται ηλεκτρονικά με χρήση ειδικής εφαρμογής προσβάσιμης μέσω της Ενιαίας Ψηφιακής Πύλης της Δημόσιας Διοίκησης (gov. gr-EΨΠ), και επέχει τη θέση υπεύθυνης δήλωσης του άρθρου 8 του ν. 1599/1986.</w:t>
      </w:r>
    </w:p>
    <w:p>
      <w:pPr>
        <w:pStyle w:val="MainText"/>
        <w:spacing w:before="120" w:after="0"/>
        <w:rPr>
          <w:lang w:val="el" w:eastAsia="el"/>
        </w:rPr>
      </w:pPr>
      <w:r>
        <w:rPr>
          <w:b/>
          <w:bCs/>
          <w:lang w:val="el" w:eastAsia="el"/>
        </w:rPr>
        <w:t>2.</w:t>
      </w:r>
      <w:r>
        <w:rPr>
          <w:lang w:val="el" w:eastAsia="el"/>
        </w:rPr>
        <w:t xml:space="preserve"> Για την υποβολή της δήλωσης απαιτείται η προηγούμενη αυθεντικοποίηση του φυσικού προσώπου/ χρήστη σύμφωνα με τα οριζόμενα στο άρθρο 24 του ν. 4727/2020.</w:t>
      </w:r>
    </w:p>
    <w:p>
      <w:pPr>
        <w:pStyle w:val="MainText"/>
        <w:spacing w:before="120" w:after="0"/>
        <w:rPr>
          <w:lang w:val="el" w:eastAsia="el"/>
        </w:rPr>
      </w:pPr>
      <w:r>
        <w:rPr>
          <w:b/>
          <w:bCs/>
          <w:lang w:val="el" w:eastAsia="el"/>
        </w:rPr>
        <w:t>3.</w:t>
      </w:r>
      <w:r>
        <w:rPr>
          <w:lang w:val="el" w:eastAsia="el"/>
        </w:rPr>
        <w:t xml:space="preserve"> Προϋπόθεση για την υποβολή της αίτησης αποτελεί η ασφάλιση του μοτοποδηλάτου.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ηλεκτρονικής αίτησης ανανέωσης άδειας κυκλοφορίας μοτοποδηλάτου, μέσω της Ενιαίας Ψηφιακής Πύλης της Δημόσιας Διοίκησης (gov.gr-EΨΠ)</w:t>
      </w:r>
    </w:p>
    <w:p>
      <w:pPr>
        <w:pStyle w:val="MainText"/>
        <w:spacing w:before="120" w:after="0"/>
        <w:rPr>
          <w:lang w:val="el" w:eastAsia="el"/>
        </w:rPr>
      </w:pPr>
      <w:r>
        <w:rPr>
          <w:b/>
          <w:bCs/>
          <w:lang w:val="el" w:eastAsia="el"/>
        </w:rPr>
        <w:t>1.</w:t>
      </w:r>
      <w:r>
        <w:rPr>
          <w:lang w:val="el" w:eastAsia="el"/>
        </w:rPr>
        <w:t xml:space="preserve"> Πριν την υποβολή της αίτησης το φυσικό πρόσωπο δύναται να αναζητά μέσω της εφαρμογής το κόστος της ανανέωσης άδειας κυκλοφορίας μοτοποδηλάτου και να δημιουργεί τα αντίστοιχα ηλεκτρονικά παράβολα.</w:t>
      </w:r>
    </w:p>
    <w:p>
      <w:pPr>
        <w:pStyle w:val="MainText"/>
        <w:spacing w:before="120" w:after="0"/>
        <w:rPr>
          <w:lang w:val="el" w:eastAsia="el"/>
        </w:rPr>
      </w:pPr>
      <w:r>
        <w:rPr>
          <w:b/>
          <w:bCs/>
          <w:lang w:val="el" w:eastAsia="el"/>
        </w:rPr>
        <w:t>2.</w:t>
      </w:r>
      <w:r>
        <w:rPr>
          <w:lang w:val="el" w:eastAsia="el"/>
        </w:rPr>
        <w:t xml:space="preserve"> Το κόστος υπολογίζεται αυτόματα ανάλογα με το έτος της τελευταίας ανανέωσης.</w:t>
      </w:r>
    </w:p>
    <w:p>
      <w:pPr>
        <w:pStyle w:val="MainText"/>
        <w:spacing w:before="120" w:after="0"/>
        <w:rPr>
          <w:lang w:val="el" w:eastAsia="el"/>
        </w:rPr>
      </w:pPr>
      <w:r>
        <w:rPr>
          <w:b/>
          <w:bCs/>
          <w:lang w:val="el" w:eastAsia="el"/>
        </w:rPr>
        <w:t>3.</w:t>
      </w:r>
      <w:r>
        <w:rPr>
          <w:lang w:val="el" w:eastAsia="el"/>
        </w:rPr>
        <w:t xml:space="preserve"> Με την εξόφληση των παραβόλων το φυσικό πρόσωπο μπορεί να υποβάλει την αίτηση ανανέωσης.</w:t>
      </w:r>
    </w:p>
    <w:p>
      <w:pPr>
        <w:pStyle w:val="MainText"/>
        <w:spacing w:before="120" w:after="0"/>
        <w:rPr>
          <w:lang w:val="el" w:eastAsia="el"/>
        </w:rPr>
      </w:pPr>
      <w:r>
        <w:rPr>
          <w:b/>
          <w:bCs/>
          <w:lang w:val="el" w:eastAsia="el"/>
        </w:rPr>
        <w:t>4.</w:t>
      </w:r>
      <w:r>
        <w:rPr>
          <w:lang w:val="el" w:eastAsia="el"/>
        </w:rPr>
        <w:t xml:space="preserve"> Μετά την υποβολή της, η αίτηση αποστέλλεται στη θυρίδα της Ελληνικής Αστυνομίας και ακολουθούνται όσα ορίζονται στην υπό στοιχεία 5620 ΕΞ 2021/26-2-2021 απόφαση του Υπουργού Επικρατείας (Β’ 849) και την υπ’ αρ. 246/08-03-2021 κοινή απόφαση των Υπουργών Προστασίας του Πολίτη και Επικρατείας (Β’ 968).</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Απάντηση στον ενδιαφερόμενο</w:t>
      </w:r>
    </w:p>
    <w:p>
      <w:pPr>
        <w:spacing w:before="240" w:after="240"/>
        <w:rPr>
          <w:lang w:val="el" w:eastAsia="el"/>
        </w:rPr>
      </w:pPr>
      <w:r>
        <w:rPr>
          <w:lang w:val="el" w:eastAsia="el"/>
        </w:rPr>
        <w:t>Μετά την ολοκλήρωση της επεξεργασίας της αίτησης αποστέλλεται στη θυρίδα του αιτούντος η βεβαίωση ανανέωσης άδειας κυκλοφορίας μοτοποδηλάτου, σύμφωνα με το υπόδειγμα του Παραρτήματος. Η βεβαίωση φέρει τα χαρακτηριστικά εγγράφου που εκδίδεται μέσω της Ε.Ψ.Π. και γίνεται υποχρεωτικά αποδεκτή σύμφωνα με τα οριζόμενα στο άρθρο 27 του ν. 4727/2020.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Ειδικές ρυθμίσεις</w:t>
      </w:r>
    </w:p>
    <w:p>
      <w:pPr>
        <w:pStyle w:val="MainText"/>
        <w:spacing w:before="120" w:after="0"/>
        <w:rPr>
          <w:lang w:val="el" w:eastAsia="el"/>
        </w:rPr>
      </w:pPr>
      <w:r>
        <w:rPr>
          <w:b/>
          <w:bCs/>
          <w:lang w:val="el" w:eastAsia="el"/>
        </w:rPr>
        <w:t>1.</w:t>
      </w:r>
      <w:r>
        <w:rPr>
          <w:lang w:val="el" w:eastAsia="el"/>
        </w:rPr>
        <w:t xml:space="preserve"> Η ειδική εφαρμογή της παρούσας διαλειτουργεί με άλλα πληροφοριακά συστήματα του δημόσιου τομέα μέσω του Κέντρου Διαλειτουργικότητας της Γενικής Γραμματείας Πληροφοριακών Συστημάτων Δημόσιας Διοίκησης (Γ.Γ.Π.Σ.Δ.Δ.) του Υπουργείου Ψηφιακής Διακυβέρνησης και σύμφωνα με το ισχύον Πλαίσιο Ασφάλειας Πληροφοριακών Συστημάτων της Γ.Γ.Π.Σ.Δ.Δ., την Πολιτική Ορθής Χρήσης των διαδικτυακών υπηρεσιών και τις διατάξεις περί προστασίας δεδομένων προσωπικού χαρακτήρα. Η εφαρμογή της παρούσας διαλειτουργεί ιδίως με:</w:t>
      </w:r>
    </w:p>
    <w:p>
      <w:pPr>
        <w:pStyle w:val="StructureList1"/>
        <w:spacing w:before="120" w:after="0"/>
        <w:rPr>
          <w:lang w:val="el" w:eastAsia="el"/>
        </w:rPr>
      </w:pPr>
      <w:r>
        <w:rPr>
          <w:lang w:val="el" w:eastAsia="el"/>
        </w:rPr>
        <w:t>α)</w:t>
      </w:r>
      <w:r>
        <w:rPr>
          <w:lang w:val="en" w:eastAsia="en"/>
        </w:rPr>
        <w:tab/>
      </w:r>
      <w:r>
        <w:rPr>
          <w:lang w:val="el" w:eastAsia="el"/>
        </w:rPr>
        <w:t>Το Πληροφοριακό Σύστημα της Ελληνικής Αστυνομίας για την άντληση στοιχείων μοτοποδηλάτου.</w:t>
      </w:r>
    </w:p>
    <w:p>
      <w:pPr>
        <w:pStyle w:val="StructureList1"/>
        <w:spacing w:before="120" w:after="0"/>
        <w:rPr>
          <w:lang w:val="el" w:eastAsia="el"/>
        </w:rPr>
      </w:pPr>
      <w:r>
        <w:rPr>
          <w:lang w:val="el" w:eastAsia="el"/>
        </w:rPr>
        <w:t>β)</w:t>
      </w:r>
      <w:r>
        <w:rPr>
          <w:lang w:val="en" w:eastAsia="en"/>
        </w:rPr>
        <w:tab/>
      </w:r>
      <w:r>
        <w:rPr>
          <w:lang w:val="el" w:eastAsia="el"/>
        </w:rPr>
        <w:t>Το Πληροφοριακό Σύστημα του ηλεκτρονικού παραβόλου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Η Ελληνική Αστυνομία έχει την υποχρέωση να εκδώσει οδηγίες για την ασφαλή διαχείριση και χρήση των θυρίδων από το προσωπικό της.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Επεξεργασία δεδομένων προσωπικού</w:t>
      </w:r>
    </w:p>
    <w:p>
      <w:pPr>
        <w:spacing w:before="240" w:after="240"/>
        <w:rPr>
          <w:lang w:val="el" w:eastAsia="el"/>
        </w:rPr>
      </w:pPr>
      <w:r>
        <w:rPr>
          <w:lang w:val="el" w:eastAsia="el"/>
        </w:rPr>
        <w:t>χαρακτήρα - Τεχνικά και Οργανωτικά Μέτρα</w:t>
      </w:r>
    </w:p>
    <w:p>
      <w:pPr>
        <w:pStyle w:val="MainText"/>
        <w:spacing w:before="120" w:after="0"/>
        <w:rPr>
          <w:lang w:val="el" w:eastAsia="el"/>
        </w:rPr>
      </w:pPr>
      <w:r>
        <w:rPr>
          <w:b/>
          <w:bCs/>
          <w:lang w:val="el" w:eastAsia="el"/>
        </w:rPr>
        <w:t>1.</w:t>
      </w:r>
      <w:r>
        <w:rPr>
          <w:lang w:val="el" w:eastAsia="el"/>
        </w:rPr>
        <w:t xml:space="preserve"> Το Υπουργείο Προστασίας του Πολίτη ορίζεται ως ανεξάρτητος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της λειτουργίας της εφαρμογής της παρούσας.</w:t>
      </w:r>
    </w:p>
    <w:p>
      <w:pPr>
        <w:pStyle w:val="MainText"/>
        <w:spacing w:before="120" w:after="0"/>
        <w:rPr>
          <w:lang w:val="el" w:eastAsia="el"/>
        </w:rPr>
      </w:pPr>
      <w:r>
        <w:rPr>
          <w:b/>
          <w:bCs/>
          <w:lang w:val="el" w:eastAsia="el"/>
        </w:rPr>
        <w:t>2.</w:t>
      </w:r>
      <w:r>
        <w:rPr>
          <w:lang w:val="el" w:eastAsia="el"/>
        </w:rPr>
        <w:t xml:space="preserve"> Το Υπουργείο Ψηφιακής Διακυβέρνησης είναι ανεξάρτητος υπεύθυνος επεξεργασίας για τη λειτουργία της Ενιαίας Ψηφιακής Πύλης της Δημόσιας Διοίκησης (gov.gr - ΕΨΠ) και έχει την υποχρέωση λήψης και διαρκούς τήρησης των κατάλληλων και αναγκαίων τεχνικών και οργανωτικών μέτρων ασφάλειας των λαμβανομένων πληροφοριών, της διασφάλισης της ιχνηλασιμότητας και της προστασίας των διακινούμενων δεδομένων από κάθε παραβίαση, καθώς και από σκόπιμη ή τυχαία απειλή.</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Μπορείτε να ελέγξετε την ισχύ του εγγράφου σκανάροντας το QR codi εισάγοντας τον κωδικό στο docs.gov.gr/validate</w:t>
      </w:r>
    </w:p>
    <w:p>
      <w:pPr>
        <w:spacing w:before="240" w:after="240"/>
        <w:rPr>
          <w:lang w:val="el" w:eastAsia="el"/>
        </w:rPr>
      </w:pPr>
      <w:r>
        <w:rPr>
          <w:b/>
          <w:bCs/>
          <w:lang w:val="el" w:eastAsia="el"/>
        </w:rPr>
        <w:t>Κωδικός εγγράφου</w:t>
      </w:r>
      <w:r>
        <w:rPr>
          <w:lang w:val="el" w:eastAsia="el"/>
        </w:rPr>
        <w:t>: ΧΧΧΧΧΧΧΧΧΧΧΧΧΧΧΧΧΧΧ</w:t>
      </w:r>
    </w:p>
    <w:p>
      <w:pPr>
        <w:spacing w:before="240" w:after="240"/>
        <w:rPr>
          <w:lang w:val="el" w:eastAsia="el"/>
        </w:rPr>
      </w:pPr>
      <w:r>
        <w:rPr>
          <w:b/>
          <w:bCs/>
          <w:lang w:val="el" w:eastAsia="el"/>
        </w:rPr>
        <w:t>ΕΒι0®»ιώ«™ Tej^oi^iniiipvtk ΐίΐφίακής Δίακυ0^ρίηρηι ;/trifled by 1he Mm^try of hgitaf Souf^nan», ffaH^c Republc ΕΛΛΗΝΙΚΗ ΑΣΤΥΝΟΜΙΑ</w:t>
      </w:r>
    </w:p>
    <w:p>
      <w:pPr>
        <w:spacing w:before="240" w:after="240"/>
        <w:rPr>
          <w:lang w:val="el" w:eastAsia="el"/>
        </w:rPr>
      </w:pPr>
      <w:r>
        <w:rPr>
          <w:b/>
          <w:bCs/>
          <w:lang w:val="el" w:eastAsia="el"/>
        </w:rPr>
        <w:t>ΒΕΒΑΙΩΣΗ ΑΝΑΝΕΩΣΗΣ ΑΔΕΙΑΣ ΚΥΚΛΟΦΟΡΙΑΣ ΜΟΤΟΠΟΔΗΛΑΤΟΥ ΓΙΑ ΤΟ ΕΤΟΣ</w:t>
      </w:r>
    </w:p>
    <w:p>
      <w:pPr>
        <w:spacing w:before="240" w:after="240"/>
        <w:rPr>
          <w:lang w:val="el" w:eastAsia="el"/>
        </w:rPr>
      </w:pPr>
      <w:r>
        <w:rPr>
          <w:b/>
          <w:bCs/>
          <w:lang w:val="el" w:eastAsia="el"/>
        </w:rPr>
        <w:t>ΣΤΟΙΧΕΙΑ ΙΔΙΟΚΤΗΤΗ</w:t>
      </w:r>
    </w:p>
    <w:p>
      <w:pPr>
        <w:spacing w:before="240" w:after="240"/>
        <w:rPr>
          <w:lang w:val="el" w:eastAsia="el"/>
        </w:rPr>
      </w:pPr>
      <w:r>
        <w:rPr>
          <w:lang w:val="el" w:eastAsia="el"/>
        </w:rPr>
        <w:t>ΕΠΩΝΥΜΟ</w:t>
      </w:r>
    </w:p>
    <w:p>
      <w:pPr>
        <w:spacing w:before="240" w:after="240"/>
        <w:rPr>
          <w:lang w:val="el" w:eastAsia="el"/>
        </w:rPr>
      </w:pPr>
      <w:r>
        <w:rPr>
          <w:lang w:val="el" w:eastAsia="el"/>
        </w:rPr>
        <w:t>ΟΝΟΜΑ ΠΑΤΡΩΝΥΜΟ 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15"/>
        <w:gridCol w:w="36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ΟΧΗΜΑΤΟΣ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ΑΡ. ΚΥΚΛΟΦΟΡΙΑΣ </w:t>
            </w:r>
            <w:r>
              <w:rPr>
                <w:b/>
                <w:bCs/>
                <w:i w:val="0"/>
                <w:iCs w:val="0"/>
                <w:smallCaps w:val="0"/>
                <w:color w:val="000000"/>
                <w:sz w:val="30"/>
                <w:szCs w:val="30"/>
                <w:vertAlign w:val="super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ΕΡΓΟΣΤΑΣΙΟ ΚΑΤΑΣΚΕΥΗΣ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ΤΥΠΟΣ ΟΧΗΜΑΤΟΣ ΧΡΩΜΑ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ΑΡΙΘΜΟΣ ΠΛΑΙΣΙΟΥ </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ΕΧΟΥΝ ΚΑΤΑΒΛΗΘΕΙ ΤΑ ΠΑΡΑΚΑΤΩ ΠΑΡΑΒΟΛΑ</w:t>
      </w:r>
    </w:p>
    <w:p>
      <w:pPr>
        <w:spacing w:before="240" w:after="240"/>
        <w:rPr>
          <w:lang w:val="el" w:eastAsia="el"/>
        </w:rPr>
      </w:pPr>
      <w:r>
        <w:rPr>
          <w:lang w:val="el" w:eastAsia="el"/>
        </w:rPr>
        <w:t>Είδος Παραβόλου Έτος Κόστος</w:t>
      </w:r>
    </w:p>
    <w:p>
      <w:pPr>
        <w:spacing w:before="240" w:after="240"/>
        <w:rPr>
          <w:lang w:val="el" w:eastAsia="el"/>
        </w:rPr>
      </w:pPr>
      <w:r>
        <w:rPr>
          <w:lang w:val="el" w:eastAsia="el"/>
        </w:rPr>
        <w:t>ΔΗΜΟΣΙΟ (1789) Ευρώ</w:t>
      </w:r>
    </w:p>
    <w:p>
      <w:pPr>
        <w:spacing w:before="240" w:after="240"/>
        <w:rPr>
          <w:lang w:val="el" w:eastAsia="el"/>
        </w:rPr>
      </w:pPr>
      <w:r>
        <w:rPr>
          <w:lang w:val="el" w:eastAsia="el"/>
        </w:rPr>
        <w:t>ΕΛ.ΑΣ. (6193) Ευρώ</w:t>
      </w:r>
    </w:p>
    <w:p>
      <w:pPr>
        <w:spacing w:before="240" w:after="240"/>
        <w:rPr>
          <w:lang w:val="el" w:eastAsia="el"/>
        </w:rPr>
      </w:pPr>
      <w:r>
        <w:rPr>
          <w:lang w:val="el" w:eastAsia="el"/>
        </w:rPr>
        <w:t xml:space="preserve">ΥΠΗΡΕΣΙΑ ΘΕΩΡΗΣΗΣ </w:t>
      </w:r>
      <w:r>
        <w:rPr>
          <w:b/>
          <w:bCs/>
          <w:lang w:val="el" w:eastAsia="el"/>
        </w:rPr>
        <w:t>:</w:t>
      </w:r>
    </w:p>
    <w:p>
      <w:pPr>
        <w:spacing w:before="240" w:after="240"/>
        <w:rPr>
          <w:lang w:val="el" w:eastAsia="el"/>
        </w:rPr>
      </w:pPr>
      <w:r>
        <w:rPr>
          <w:lang w:val="el" w:eastAsia="el"/>
        </w:rPr>
        <w:t xml:space="preserve">ΗΜΕΡΟΜΗΝΙΑ ΘΕΩΡΗΣΗΣ </w:t>
      </w:r>
      <w:r>
        <w:rPr>
          <w:sz w:val="30"/>
          <w:szCs w:val="30"/>
          <w:vertAlign w:val="superscript"/>
          <w:lang w:val="el" w:eastAsia="el"/>
        </w:rPr>
        <w:t>:</w:t>
      </w:r>
    </w:p>
    <w:p>
      <w:pPr>
        <w:spacing w:before="240" w:after="240"/>
        <w:rPr>
          <w:lang w:val="el" w:eastAsia="el"/>
        </w:rPr>
      </w:pPr>
      <w:r>
        <w:rPr>
          <w:lang w:val="el" w:eastAsia="el"/>
        </w:rPr>
        <w:t>Κωδικός Παραβόλου</w:t>
      </w:r>
    </w:p>
    <w:p>
      <w:pPr>
        <w:spacing w:before="240" w:after="240"/>
        <w:rPr>
          <w:lang w:val="el" w:eastAsia="el"/>
        </w:rPr>
      </w:pPr>
      <w:r>
        <w:rPr>
          <w:lang w:val="el" w:eastAsia="el"/>
        </w:rPr>
        <w:t>Η ανανέωση της άδειας κυκλοφορίας μοτοποδηλάτου ισχύει έως / / για ολόκληρη την Ελληνική Επικράτεια.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Ιανουαρίου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Υφυπουργός Προστασίας του Πολίτη Επικράτειας</w:t>
      </w:r>
    </w:p>
    <w:p>
      <w:pPr>
        <w:spacing w:before="240" w:after="240"/>
        <w:rPr>
          <w:lang w:val="el" w:eastAsia="el"/>
        </w:rPr>
      </w:pPr>
      <w:r>
        <w:rPr>
          <w:b/>
          <w:bCs/>
          <w:lang w:val="el" w:eastAsia="el"/>
        </w:rPr>
        <w:t>ΠΑΝΑΓΙΩΤΗΣ ΘΕΟΔΩΡΙΚΑΚΟΣ ΕΛΕΥΘΕΡΙΟΣ ΟΙΚΟΝΟΜΟΥ</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