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1009</w:t>
      </w:r>
    </w:p>
    <w:p>
      <w:pPr>
        <w:pStyle w:val="PreambelText"/>
        <w:spacing w:before="240" w:after="240"/>
        <w:rPr>
          <w:lang w:val="el" w:eastAsia="el"/>
        </w:rPr>
      </w:pPr>
      <w:r>
        <w:rPr>
          <w:b/>
          <w:bCs/>
          <w:lang w:val="el" w:eastAsia="el"/>
        </w:rPr>
        <w:t>Τροποποίηση της υπό στοιχεία Α.1243/15.11.2021 κοινής υπουργικής απόφασης «Χορήγηση επιδόματος θέρμανσης για την χειμερινή περίοδο 2021/2022 και καθορισμός του ύψους, των δικαιούχων, των προϋποθέσεων και της διαδικασίας χορήγησης αυτού» (Β’ 5298).</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Ο ΑΝΑΠΛΗΡΩΤΗΣ ΥΠΟΥΡΓΟΣ</w:t>
      </w:r>
    </w:p>
    <w:p>
      <w:pPr>
        <w:pStyle w:val="PreambelText"/>
        <w:spacing w:before="240" w:after="240"/>
        <w:rPr>
          <w:lang w:val="el" w:eastAsia="el"/>
        </w:rPr>
      </w:pPr>
      <w:r>
        <w:rPr>
          <w:b/>
          <w:bCs/>
          <w:lang w:val="el" w:eastAsia="el"/>
        </w:rPr>
        <w:t>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79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StructureList1"/>
        <w:spacing w:before="120" w:after="0"/>
        <w:rPr>
          <w:lang w:val="el" w:eastAsia="el"/>
        </w:rPr>
      </w:pPr>
      <w:r>
        <w:rPr>
          <w:lang w:val="el" w:eastAsia="el"/>
        </w:rPr>
        <w:t>β)</w:t>
      </w:r>
      <w:r>
        <w:rPr>
          <w:lang w:val="en" w:eastAsia="en"/>
        </w:rPr>
        <w:tab/>
      </w:r>
      <w:r>
        <w:rPr>
          <w:lang w:val="el" w:eastAsia="el"/>
        </w:rPr>
        <w:t>της υποπαρ. Α.1 της παρ.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γ)</w:t>
      </w:r>
      <w:r>
        <w:rPr>
          <w:lang w:val="en" w:eastAsia="en"/>
        </w:rPr>
        <w:tab/>
      </w:r>
      <w:r>
        <w:rPr>
          <w:lang w:val="el" w:eastAsia="el"/>
        </w:rPr>
        <w:t>του ν. 4472/2017 περί μεταξύ άλλων «Μεσοπρόθεσμου πλαισίου Δημοσιονομικής Στρατηγικής 2018 - 2021» (Α’ 74),</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ν.δ. 356/1974 «Περί Κώδικος Εισπράξεως Δημοσίων Εσόδων» (Α’ 90),</w:t>
      </w:r>
    </w:p>
    <w:p>
      <w:pPr>
        <w:pStyle w:val="StructureList1"/>
        <w:spacing w:before="120" w:after="0"/>
        <w:rPr>
          <w:lang w:val="el" w:eastAsia="el"/>
        </w:rPr>
      </w:pPr>
      <w:r>
        <w:rPr>
          <w:lang w:val="el" w:eastAsia="el"/>
        </w:rPr>
        <w:t>στ)</w:t>
      </w:r>
      <w:r>
        <w:rPr>
          <w:lang w:val="en" w:eastAsia="en"/>
        </w:rPr>
        <w:tab/>
      </w:r>
      <w:r>
        <w:rPr>
          <w:lang w:val="el" w:eastAsia="el"/>
        </w:rPr>
        <w:t>του ν. 4174/2013 «Φορολογικές διαδικασίες και άλλες διατάξεις» (Α’ 170),</w:t>
      </w:r>
    </w:p>
    <w:p>
      <w:pPr>
        <w:pStyle w:val="StructureList1"/>
        <w:spacing w:before="120" w:after="0"/>
        <w:rPr>
          <w:lang w:val="el" w:eastAsia="el"/>
        </w:rPr>
      </w:pPr>
      <w:r>
        <w:rPr>
          <w:lang w:val="el" w:eastAsia="el"/>
        </w:rPr>
        <w:t>ζ)</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η)</w:t>
      </w:r>
      <w:r>
        <w:rPr>
          <w:lang w:val="en" w:eastAsia="en"/>
        </w:rPr>
        <w:tab/>
      </w:r>
      <w:r>
        <w:rPr>
          <w:lang w:val="el" w:eastAsia="el"/>
        </w:rPr>
        <w:t>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θ)</w:t>
      </w:r>
      <w:r>
        <w:rPr>
          <w:lang w:val="en" w:eastAsia="en"/>
        </w:rPr>
        <w:tab/>
      </w:r>
      <w:r>
        <w:rPr>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ι)</w:t>
      </w:r>
      <w:r>
        <w:rPr>
          <w:lang w:val="en" w:eastAsia="en"/>
        </w:rPr>
        <w:tab/>
      </w:r>
      <w:r>
        <w:rPr>
          <w:lang w:val="el" w:eastAsia="el"/>
        </w:rPr>
        <w:t>του άρθρου 26 του ν. 1882/1990 «Μέτρα για την περιστολή της φοροδιαφυγής, διαρρυθμίσεις στην άμεση και έμμεση φορολογία και άλλες διατάξεις» (Α’ 43),</w:t>
      </w:r>
    </w:p>
    <w:p>
      <w:pPr>
        <w:pStyle w:val="StructureList1"/>
        <w:spacing w:before="120" w:after="0"/>
        <w:rPr>
          <w:lang w:val="el" w:eastAsia="el"/>
        </w:rPr>
      </w:pPr>
      <w:r>
        <w:rPr>
          <w:lang w:val="el" w:eastAsia="el"/>
        </w:rPr>
        <w:t>ια)</w:t>
      </w:r>
      <w:r>
        <w:rPr>
          <w:lang w:val="en" w:eastAsia="en"/>
        </w:rPr>
        <w:tab/>
      </w:r>
      <w:r>
        <w:rPr>
          <w:lang w:val="el" w:eastAsia="el"/>
        </w:rPr>
        <w:t>των άρθρων 1 και 2Β του ν. 3852/2010 «Νέα Αρχιτεκτονική της Αυτοδιοίκησης και της Αποκεντρωμένης Διοίκησης - Πρόγραμμα Καλλικράτης» (Α’ 87),</w:t>
      </w:r>
    </w:p>
    <w:p>
      <w:pPr>
        <w:pStyle w:val="StructureList1"/>
        <w:spacing w:before="120" w:after="0"/>
        <w:rPr>
          <w:lang w:val="el" w:eastAsia="el"/>
        </w:rPr>
      </w:pPr>
      <w:r>
        <w:rPr>
          <w:lang w:val="el" w:eastAsia="el"/>
        </w:rPr>
        <w:t>ιβ)</w:t>
      </w:r>
      <w:r>
        <w:rPr>
          <w:lang w:val="en" w:eastAsia="en"/>
        </w:rPr>
        <w:tab/>
      </w:r>
      <w:r>
        <w:rPr>
          <w:lang w:val="el" w:eastAsia="el"/>
        </w:rPr>
        <w:t>του ν. 2960/2001 «Εθνικός Τελωνειακός Κώδικας» (Α’ 265),</w:t>
      </w:r>
    </w:p>
    <w:p>
      <w:pPr>
        <w:pStyle w:val="StructureList1"/>
        <w:spacing w:before="120" w:after="0"/>
        <w:rPr>
          <w:lang w:val="el" w:eastAsia="el"/>
        </w:rPr>
      </w:pPr>
      <w:r>
        <w:rPr>
          <w:lang w:val="el" w:eastAsia="el"/>
        </w:rPr>
        <w:t>ιγ)</w:t>
      </w:r>
      <w:r>
        <w:rPr>
          <w:lang w:val="en" w:eastAsia="en"/>
        </w:rPr>
        <w:tab/>
      </w:r>
      <w:r>
        <w:rPr>
          <w:lang w:val="el" w:eastAsia="el"/>
        </w:rPr>
        <w:t>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ιδ)</w:t>
      </w:r>
      <w:r>
        <w:rPr>
          <w:lang w:val="en" w:eastAsia="en"/>
        </w:rPr>
        <w:tab/>
      </w:r>
      <w:r>
        <w:rPr>
          <w:lang w:val="el" w:eastAsia="el"/>
        </w:rPr>
        <w:t>του άρθρου 189 του ν.4855/2021 «Τροποποιήσεις του Ποινικού Κώδικα, του Κώδικα Ποινικής Δικονομίας και άλλες επείγουσες διατάξεις» (Α’ 215),</w:t>
      </w:r>
    </w:p>
    <w:p>
      <w:pPr>
        <w:pStyle w:val="StructureList1"/>
        <w:spacing w:before="120" w:after="0"/>
        <w:rPr>
          <w:lang w:val="el" w:eastAsia="el"/>
        </w:rPr>
      </w:pPr>
      <w:r>
        <w:rPr>
          <w:lang w:val="el" w:eastAsia="el"/>
        </w:rPr>
        <w:t>ιε)</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ιστ)</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παρ. 22 του άρθρου 119 του ν. 4622/2019 (Α’ 133),</w:t>
      </w:r>
    </w:p>
    <w:p>
      <w:pPr>
        <w:pStyle w:val="StructureList1"/>
        <w:spacing w:before="120" w:after="0"/>
        <w:rPr>
          <w:lang w:val="el" w:eastAsia="el"/>
        </w:rPr>
      </w:pPr>
      <w:r>
        <w:rPr>
          <w:lang w:val="el" w:eastAsia="el"/>
        </w:rPr>
        <w:t>ιζ)</w:t>
      </w:r>
      <w:r>
        <w:rPr>
          <w:lang w:val="en" w:eastAsia="en"/>
        </w:rPr>
        <w:tab/>
      </w:r>
      <w:r>
        <w:rPr>
          <w:lang w:val="el" w:eastAsia="el"/>
        </w:rPr>
        <w:t>του π.δ. 83/2019 «Διορισμός Αντιπροέδρου Κυβέρνησης, Υπουργών, Αναπληρωτών Υπουργών και Υφυπουργών» (Α’ 121 και 126 για διόρθωση σφάλματος),</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της υπό στοιχεία Υ2/2019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κ)</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κα)</w:t>
      </w:r>
      <w:r>
        <w:rPr>
          <w:lang w:val="en" w:eastAsia="en"/>
        </w:rPr>
        <w:tab/>
      </w:r>
      <w:r>
        <w:rPr>
          <w:lang w:val="el" w:eastAsia="el"/>
        </w:rPr>
        <w:t>της υπ’ αρ. 339/2019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κβ)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κγ)</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κδ)</w:t>
      </w:r>
      <w:r>
        <w:rPr>
          <w:lang w:val="en" w:eastAsia="en"/>
        </w:rPr>
        <w:tab/>
      </w:r>
      <w:r>
        <w:rPr>
          <w:lang w:val="el" w:eastAsia="el"/>
        </w:rPr>
        <w:t>της υπό στοιχεία. Δ.ΟΡΓ.Α 1125859 ΕΞ 2020/ 23.10.2020 απόφασης του Διοικητή της Ανεξάρτητης</w:t>
      </w:r>
    </w:p>
    <w:p>
      <w:pPr>
        <w:pStyle w:val="PreambelText"/>
        <w:spacing w:before="240" w:after="240"/>
        <w:rPr>
          <w:lang w:val="el" w:eastAsia="el"/>
        </w:rPr>
      </w:pPr>
      <w:r>
        <w:rPr>
          <w:lang w:val="el" w:eastAsia="el"/>
        </w:rPr>
        <w:t>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κε)</w:t>
      </w:r>
      <w:r>
        <w:rPr>
          <w:lang w:val="en" w:eastAsia="en"/>
        </w:rPr>
        <w:tab/>
      </w:r>
      <w:r>
        <w:rPr>
          <w:lang w:val="el" w:eastAsia="el"/>
        </w:rPr>
        <w:t>της υπό στοιχεία 1019446/113/0015/ΠΟΛ. 1034/ 14.2.2008 απόφασης του Υπουργού Οικονομίας και Οικονομικών (Β’ 307),</w:t>
      </w:r>
    </w:p>
    <w:p>
      <w:pPr>
        <w:pStyle w:val="StructureList1"/>
        <w:spacing w:before="120" w:after="0"/>
        <w:rPr>
          <w:lang w:val="el" w:eastAsia="el"/>
        </w:rPr>
      </w:pPr>
      <w:r>
        <w:rPr>
          <w:lang w:val="el" w:eastAsia="el"/>
        </w:rPr>
        <w:t>κστ)</w:t>
      </w:r>
      <w:r>
        <w:rPr>
          <w:lang w:val="en" w:eastAsia="en"/>
        </w:rPr>
        <w:tab/>
      </w:r>
      <w:r>
        <w:rPr>
          <w:lang w:val="el" w:eastAsia="el"/>
        </w:rPr>
        <w:t>της υπό στοιχεία Α 1275/17.12.2020 απόφασης του Υπουργού, του Αναπληρωτή Υπουργού και του Υφυπουργού Οικονομικών (Β’ 5576),</w:t>
      </w:r>
    </w:p>
    <w:p>
      <w:pPr>
        <w:pStyle w:val="StructureList1"/>
        <w:spacing w:before="120" w:after="0"/>
        <w:rPr>
          <w:lang w:val="el" w:eastAsia="el"/>
        </w:rPr>
      </w:pPr>
      <w:r>
        <w:rPr>
          <w:lang w:val="el" w:eastAsia="el"/>
        </w:rPr>
        <w:t>κζ)</w:t>
      </w:r>
      <w:r>
        <w:rPr>
          <w:lang w:val="en" w:eastAsia="en"/>
        </w:rPr>
        <w:tab/>
      </w:r>
      <w:r>
        <w:rPr>
          <w:lang w:val="el" w:eastAsia="el"/>
        </w:rPr>
        <w:t>της υπό στοιχεία Α.1243/15.11.2021 κοινής υπουργικής απόφασης «Χορήγηση επιδόματος θέρμανσης για την χειμερινή περίοδο 2021/2022 και καθορισμός του ύψους, των δικαιούχων, των προϋποθέσεων και της διαδικασίας χορήγησης αυτού» (Β’ 5298).</w:t>
      </w:r>
    </w:p>
    <w:p>
      <w:pPr>
        <w:pStyle w:val="PreambelText"/>
        <w:spacing w:before="240" w:after="240"/>
        <w:rPr>
          <w:lang w:val="el" w:eastAsia="el"/>
        </w:rPr>
      </w:pPr>
      <w:r>
        <w:rPr>
          <w:lang w:val="el" w:eastAsia="el"/>
        </w:rPr>
        <w:t>2.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pStyle w:val="PreambelText"/>
        <w:spacing w:before="240" w:after="240"/>
        <w:rPr>
          <w:lang w:val="el" w:eastAsia="el"/>
        </w:rPr>
      </w:pPr>
      <w:r>
        <w:rPr>
          <w:lang w:val="el" w:eastAsia="el"/>
        </w:rPr>
        <w:t>3. Την ανάγκη χορήγησης επιδόματος σε συγκεκριμένες κατηγορίες καταναλωτών πετρελαίου θέρμανσης εσωτερικής καύσης (DIESEL), φυσικού αερίου, υγραερίου, καυσόξυλων, βιομάζας (πέλετ) και θερμικής ενέργειας μέσω τηλεθέρμανσης.</w:t>
      </w:r>
    </w:p>
    <w:p>
      <w:pPr>
        <w:pStyle w:val="PreambelText"/>
        <w:spacing w:before="240" w:after="240"/>
        <w:rPr>
          <w:lang w:val="el" w:eastAsia="el"/>
        </w:rPr>
      </w:pPr>
      <w:r>
        <w:rPr>
          <w:lang w:val="el" w:eastAsia="el"/>
        </w:rPr>
        <w:t>4. Την υπό στοιχεία 2/107317/ΔΠΓΚ/12-11-2021 από 15.11.2021 εισήγηση δημοσιονομικών επιπτώσεων επί του σχεδίου της υπουργικής απόφασης σχετικά με τη χορήγηση επιδόματος θέρμανσης χειμερινής περιόδου 2021/2022 της Γενικής Διεύθυνσης Δημοσιονομικής Πολιτικής και Προϋπολογισμού του Γενικού Λογιστηρίου του Κράτους.</w:t>
      </w:r>
    </w:p>
    <w:p>
      <w:pPr>
        <w:pStyle w:val="PreambelText"/>
        <w:spacing w:before="240" w:after="240"/>
        <w:rPr>
          <w:lang w:val="el" w:eastAsia="el"/>
        </w:rPr>
      </w:pPr>
      <w:r>
        <w:rPr>
          <w:lang w:val="el" w:eastAsia="el"/>
        </w:rPr>
        <w:t>5. Το γεγονός ότι από τις διατάξεις της παρούσας απόφασης προκαλείται δαπάνη σε βάρος του κρατικού προϋπολογισμού για τα έτη 2021 και 2022. Ειδικότερα, για το έτος 2021 θα προκληθεί δαπάνη ύψους 90.000.000 ευρώ, η οποία θα καλυφθεί με εγγραφή πιστώσεων σε ύψος στον ΑΛΕ 2250904001 «Επίδομα θέρμανσης» του ειδικού φορέα 1023-711-0000000 «Γενικές Κρατικές Δαπάνες» του Υπουργείου Οικονομικών, ως συνέχεια της ισόποσης επιδότησης του κρατικού προϋπολογισμού από το Ταμείο Ενεργειακής Μετάβασης. Για το 2022, προκαλείται δαπάνη ύψους 84.000.000 ευρώ, η οποία θα καλυφθεί από τις πιστώσεις που θα προβλεφθούν στον εν λόγω ΑΛΕ για το έτος 2022,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Παράταση προθεσμίας υποβολής αιτήσεων</w:t>
      </w:r>
    </w:p>
    <w:p>
      <w:pPr>
        <w:spacing w:before="240" w:after="240"/>
        <w:rPr>
          <w:lang w:val="el" w:eastAsia="el"/>
        </w:rPr>
      </w:pPr>
      <w:r>
        <w:rPr>
          <w:lang w:val="el" w:eastAsia="el"/>
        </w:rPr>
        <w:t>για τη χορήγηση επιδόματος θέρμανσης χειμερινής περιόδου 2021/2022</w:t>
      </w:r>
    </w:p>
    <w:p>
      <w:pPr>
        <w:spacing w:before="240" w:after="240"/>
        <w:rPr>
          <w:lang w:val="el" w:eastAsia="el"/>
        </w:rPr>
      </w:pPr>
      <w:r>
        <w:rPr>
          <w:lang w:val="el" w:eastAsia="el"/>
        </w:rPr>
        <w:t>Στο άρθρο 4 της υπό στοιχεία Α.1243/15.11.2021 κοινής υπουργικής απόφασης «Χορήγηση επιδόματος θέρμανσης για την χειμερινή περίοδο 2021/2022 και καθορισμός του ύψους, των δικαιούχων, των προϋποθέσεων και της διαδικασίας χορήγησης αυτού» (Β’ 5298),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παρ. 1 αντικαθίσταται ως εξής: «1. Επίδομα χορηγείται στα φυσικά πρόσωπα των παρ. 1 και 2 του άρθρου 1, μετά από σχετική αίτηση που αρμοδίως υποβάλλεται σύμφωνα με τα προβλεπόμενα στην παρ. 2 έως και την 15η Φεβρουαρίου 2022».</w:t>
      </w:r>
    </w:p>
    <w:p>
      <w:pPr>
        <w:pStyle w:val="MainText"/>
        <w:spacing w:before="120" w:after="0"/>
        <w:rPr>
          <w:lang w:val="el" w:eastAsia="el"/>
        </w:rPr>
      </w:pPr>
      <w:r>
        <w:rPr>
          <w:b/>
          <w:bCs/>
          <w:lang w:val="el" w:eastAsia="el"/>
        </w:rPr>
        <w:t>2.</w:t>
      </w:r>
      <w:r>
        <w:rPr>
          <w:lang w:val="el" w:eastAsia="el"/>
        </w:rPr>
        <w:t xml:space="preserve"> Το τελευταίο εδάφιο της περ. β της παρ. 3 αντικαθίσταται ως εξής: «Η ενεργοποίηση αυτή δεν μπορεί να γίνει μετά την 15η Φεβρουαρίου 2022».</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ισχύουν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Ιανουαρίου 2022</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