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lang w:val="el" w:eastAsia="el"/>
        </w:rPr>
        <w:t xml:space="preserve">1. </w:t>
      </w:r>
      <w:r>
        <w:rPr>
          <w:b/>
          <w:bCs/>
          <w:lang w:val="el" w:eastAsia="el"/>
        </w:rPr>
        <w:t>ΥΠΟΥΡΓΕΙΟ ΟΙΚΟΝΟ ΓΡΑΦΕΙΑ ΥΦΥΠOΥΡΓΩΝ</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 ΚΑΙ ΕΠΙΣΤΡΟΦΩΝ</w:t>
      </w:r>
    </w:p>
    <w:p>
      <w:pPr>
        <w:pStyle w:val="PreambelText"/>
        <w:spacing w:before="240" w:after="240"/>
        <w:rPr>
          <w:lang w:val="el" w:eastAsia="el"/>
        </w:rPr>
      </w:pPr>
      <w:r>
        <w:rPr>
          <w:lang w:val="el" w:eastAsia="el"/>
        </w:rPr>
        <w:t xml:space="preserve">2.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w:t>
      </w:r>
    </w:p>
    <w:p>
      <w:pPr>
        <w:pStyle w:val="PreambelText"/>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2103375433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www.aade. gr</w:t>
              </w:r>
            </w:hyperlink>
          </w:p>
        </w:tc>
      </w:tr>
    </w:tbl>
    <w:p>
      <w:pPr>
        <w:spacing w:before="240" w:after="240"/>
        <w:rPr>
          <w:lang w:val="el" w:eastAsia="el"/>
        </w:rPr>
      </w:pPr>
      <w:r>
        <w:rPr>
          <w:b/>
          <w:bCs/>
          <w:lang w:val="el" w:eastAsia="el"/>
        </w:rPr>
        <w:t>ΘΕΜΑ: Καθορισμός των απαιτούμενων στοιχείων και δικαιολογητικών, του τρόπου αποστολής ή διαβίβασης τους στη Φορολογική Διοίκηση από τους φορολογούμενους ή τρίτους, καθώς και κάθε άλλης αναγκαίας λεπτομέρειας τεχνικού ή διαδικαστικού χαρακτήρα για την εφαρμογή της περ. α') της παρ. 2 του άρθρου 34 του ν. 4829/2021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(Α΄’ 166).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AΝΑΠΛΗΡΩΤΗΣ ΥΠΟΥΡΓΟΣ ΚΑΙ 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1α. Το άρθρο 34 του ν. 4829/2021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(Α’ 166) και ιδίως την περ. α’) της παρ. 2 αυτού.</w:t>
      </w:r>
    </w:p>
    <w:p>
      <w:pPr>
        <w:spacing w:before="240" w:after="240"/>
        <w:rPr>
          <w:lang w:val="el" w:eastAsia="el"/>
        </w:rPr>
      </w:pPr>
      <w:r>
        <w:rPr>
          <w:b/>
          <w:bCs/>
          <w:lang w:val="el" w:eastAsia="el"/>
        </w:rPr>
        <w:t>1β. Το άρθρο 56 του ν.4886/2022 «Εκσυγχρονισμός του δίκαιου ανταγωνισμού για την ψηφιακή εποχή- τροποποίηση του ν.3959/2011 και ενσωμάτωση της Οδηγίας (ΕΕ) 2019/1 του Ευρωπαϊκού Κοινοβουλίου και του Συμβουλίου της 11</w:t>
      </w:r>
      <w:r>
        <w:rPr>
          <w:b/>
          <w:bCs/>
          <w:sz w:val="30"/>
          <w:szCs w:val="30"/>
          <w:vertAlign w:val="superscript"/>
          <w:lang w:val="el" w:eastAsia="el"/>
        </w:rPr>
        <w:t>ης</w:t>
      </w:r>
      <w:r>
        <w:rPr>
          <w:b/>
          <w:bCs/>
          <w:lang w:val="el" w:eastAsia="el"/>
        </w:rPr>
        <w:t xml:space="preserve"> Δεκεμβρίου 2018 για την παροχή αρμοδιοτήτων στις αρχές ανταγωνισμού των κρατών μελών ώστε να επιβάλλουν αποτελεσματικότερα τους κανόνες για τη διασφάλιση της εύρυθμης λειτουργίας της εσωτερικής αγοράς.» (Α΄12)</w:t>
      </w:r>
    </w:p>
    <w:p>
      <w:pPr>
        <w:spacing w:before="240" w:after="240"/>
        <w:rPr>
          <w:lang w:val="el" w:eastAsia="el"/>
        </w:rPr>
      </w:pPr>
      <w:r>
        <w:rPr>
          <w:lang w:val="el" w:eastAsia="el"/>
        </w:rPr>
        <w:t xml:space="preserve">2. </w:t>
      </w:r>
      <w:r>
        <w:rPr>
          <w:b/>
          <w:bCs/>
          <w:lang w:val="el" w:eastAsia="el"/>
        </w:rPr>
        <w:t>Τις διατάξεις του ν. 4174/2013 «Φορολογικές διαδικασίες και άλλες διατάξεις» (Α’ 170).</w:t>
      </w:r>
    </w:p>
    <w:p>
      <w:pPr>
        <w:spacing w:before="240" w:after="240"/>
        <w:rPr>
          <w:lang w:val="el" w:eastAsia="el"/>
        </w:rPr>
      </w:pPr>
      <w:r>
        <w:rPr>
          <w:lang w:val="el" w:eastAsia="el"/>
        </w:rPr>
        <w:t xml:space="preserve">3. </w:t>
      </w:r>
      <w:r>
        <w:rPr>
          <w:b/>
          <w:bCs/>
          <w:lang w:val="el" w:eastAsia="el"/>
        </w:rPr>
        <w:t>Το άρθρο 40 του ν.3259/2004 «Περαίωση εκκρεμών φορολογικών υποθέσεων, ρύθμιση ληξιπροθέσμων χρεών και άλλες διατάξεις» (Α’ 149), όπως τροποποιήθηκε με το άρθρο 70 του ν. 3746/2009 (Α΄27) και το άρθρο 4 του ν.3816/2010 (Α΄6).</w:t>
      </w:r>
    </w:p>
    <w:p>
      <w:pPr>
        <w:spacing w:before="240" w:after="240"/>
        <w:rPr>
          <w:lang w:val="el" w:eastAsia="el"/>
        </w:rPr>
      </w:pPr>
      <w:r>
        <w:rPr>
          <w:lang w:val="el" w:eastAsia="el"/>
        </w:rPr>
        <w:t xml:space="preserve">4. </w:t>
      </w:r>
      <w:r>
        <w:rPr>
          <w:b/>
          <w:bCs/>
          <w:lang w:val="el" w:eastAsia="el"/>
        </w:rPr>
        <w:t>Το ν.δ. 356/1974 «Περί Κώδικα Εισπράξεως Δημοσίων Εσόδων» (Α’ 90).</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 xml:space="preserve">7. </w:t>
      </w:r>
      <w:r>
        <w:rPr>
          <w:b/>
          <w:bCs/>
          <w:lang w:val="el" w:eastAsia="el"/>
        </w:rPr>
        <w:t>Το άρθρο 90 του Κώδικα της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 xml:space="preserve">8.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9. </w:t>
      </w:r>
      <w:r>
        <w:rPr>
          <w:b/>
          <w:bCs/>
          <w:lang w:val="el" w:eastAsia="el"/>
        </w:rPr>
        <w:t>Το π.δ. 83/2019 «Διορισμός Αντιπροέδρου της Κυβέρνησης, Υπουργών, Αναπληρωτών Υπουργών και Υφυπουργών» (Α΄ 121) και το π.δ. 62/2020 «Διορισμός Αναπληρωτών Υπουργών και Υφυπουργών» (Α΄155).</w:t>
      </w:r>
    </w:p>
    <w:p>
      <w:pPr>
        <w:spacing w:before="240" w:after="240"/>
        <w:rPr>
          <w:lang w:val="el" w:eastAsia="el"/>
        </w:rPr>
      </w:pPr>
      <w:r>
        <w:rPr>
          <w:lang w:val="el" w:eastAsia="el"/>
        </w:rPr>
        <w:t xml:space="preserve">10.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11. </w:t>
      </w:r>
      <w:r>
        <w:rPr>
          <w:b/>
          <w:bCs/>
          <w:lang w:val="el" w:eastAsia="el"/>
        </w:rPr>
        <w:t>Τις διατάξεις: α) της υπ’ αριθ. 339/18.7.2019 κοινής απόφασης του Πρωθυπουργού και του Υπουργού Οικονομικών «Ανάθεση αρμοδιοτήτων στον Υφυπουργό Οικονομικών Απόστολο Βεσυρόπουλο» (Β΄ 3051) και β) της υπό στοιχεία Υ70/30-10-2020 απόφασης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 xml:space="preserve">12. </w:t>
      </w:r>
      <w:r>
        <w:rPr>
          <w:b/>
          <w:bCs/>
          <w:lang w:val="el" w:eastAsia="el"/>
        </w:rPr>
        <w:t>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 xml:space="preserve">13. </w:t>
      </w:r>
      <w:r>
        <w:rPr>
          <w:b/>
          <w:bCs/>
          <w:lang w:val="el" w:eastAsia="el"/>
        </w:rPr>
        <w:t>Την υπ’ αριθ.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αριθ. 39/3/30.11.2017 απόφαση του</w:t>
      </w:r>
    </w:p>
    <w:p>
      <w:pPr>
        <w:spacing w:before="240" w:after="240"/>
        <w:rPr>
          <w:lang w:val="el" w:eastAsia="el"/>
        </w:rPr>
      </w:pPr>
      <w:r>
        <w:rPr>
          <w:b/>
          <w:bCs/>
          <w:lang w:val="el" w:eastAsia="el"/>
        </w:rPr>
        <w:t>Συμβουλίου Διοίκησης της Α.Α.Δ.Ε. «Ανανέωσης θητείας του Διοικητή της Ανεξάρτητης Αρχής Δημοσίων Εσόδων» (Υ.Ο.Δ.Δ 689) καθώς και την υπό στοιχεία 5294 ΕΞ 17.01.2020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14. </w:t>
      </w:r>
      <w:r>
        <w:rPr>
          <w:b/>
          <w:bCs/>
          <w:lang w:val="el" w:eastAsia="el"/>
        </w:rPr>
        <w:t>Την ανάγκη καθορισμού των λεπτομερειών εφαρμογής της περ. α΄της παρ. 2 του άρθρου 34 του ν. 4829/2021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(Α’ 166).</w:t>
      </w:r>
    </w:p>
    <w:p>
      <w:pPr>
        <w:spacing w:before="240" w:after="240"/>
        <w:rPr>
          <w:lang w:val="el" w:eastAsia="el"/>
        </w:rPr>
      </w:pPr>
      <w:r>
        <w:rPr>
          <w:lang w:val="el" w:eastAsia="el"/>
        </w:rPr>
        <w:t xml:space="preserve">15. </w:t>
      </w:r>
      <w:r>
        <w:rPr>
          <w:b/>
          <w:bCs/>
          <w:lang w:val="el" w:eastAsia="el"/>
        </w:rPr>
        <w:t>Τις υπ’ αριθ. 7076/3.8.2021, 13374/5.8.2021 και 7248/6.8.2021 αποφάσεις του Γενικού Γραμματέα Πολιτικής Προστασίας με τις οποίες κηρύχτηκαν σε κατάσταση έκτακτης ανάγκης οι Δήμοι Ιστιαίας - Αιδηψού και Μαντουδίου - Λίμνης - Αγίας Άννας της Περιφερειακής Ενότητας Ευβοίας της Περιφέρειας Στερεάς Ελλάδας.</w:t>
      </w:r>
    </w:p>
    <w:p>
      <w:pPr>
        <w:spacing w:before="240" w:after="240"/>
        <w:rPr>
          <w:lang w:val="el" w:eastAsia="el"/>
        </w:rPr>
      </w:pPr>
      <w:r>
        <w:rPr>
          <w:lang w:val="el" w:eastAsia="el"/>
        </w:rPr>
        <w:t xml:space="preserve">16. </w:t>
      </w:r>
      <w:r>
        <w:rPr>
          <w:b/>
          <w:bCs/>
          <w:lang w:val="el" w:eastAsia="el"/>
        </w:rPr>
        <w:t>Την εισήγηση του Διοικητή της Α.Α.Δ.Ε. για τα άρθρα 1,2,4 και 5, της παρούσας απόφασης.</w:t>
      </w:r>
    </w:p>
    <w:p>
      <w:pPr>
        <w:spacing w:before="240" w:after="240"/>
        <w:rPr>
          <w:lang w:val="el" w:eastAsia="el"/>
        </w:rPr>
      </w:pPr>
      <w:r>
        <w:rPr>
          <w:lang w:val="el" w:eastAsia="el"/>
        </w:rPr>
        <w:t xml:space="preserve">17.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b/>
          <w:bCs/>
          <w:lang w:val="el" w:eastAsia="el"/>
        </w:rPr>
        <w:t>Με την παρούσα απόφαση καθορίζονται η διαδικασία και λοιπές λεπτομέρειες για την εφαρμογή της παράτασης των προθεσμιών καταβολής Φ.Π.Α. για τους κομιστές αξιογράφων, οι οποίοι δεν εμπίπτουν στο πεδίο εφαρμογής των επιχειρήσεων της περ. α της παρ. 1 του άρθρου 34 του ν. 4829/2021, η οποία παράταση έχει ως εξής:</w:t>
      </w:r>
    </w:p>
    <w:p>
      <w:pPr>
        <w:pStyle w:val="StructureList1"/>
        <w:spacing w:before="120" w:after="0"/>
        <w:rPr>
          <w:lang w:val="el" w:eastAsia="el"/>
        </w:rPr>
      </w:pPr>
      <w:r>
        <w:rPr>
          <w:lang w:val="el" w:eastAsia="el"/>
        </w:rPr>
        <w:t>α)</w:t>
      </w:r>
      <w:r>
        <w:rPr>
          <w:lang w:val="en" w:eastAsia="en"/>
        </w:rPr>
        <w:tab/>
      </w:r>
      <w:r>
        <w:rPr>
          <w:b/>
          <w:bCs/>
          <w:lang w:val="el" w:eastAsia="el"/>
        </w:rPr>
        <w:t>μέχρι και την 31.8.2022 οι προθεσμίες καταβολής των βεβαιωμένων στις Δ.Ο.Υ. οφειλών από δηλώσεις Φ.Π.Α. με ποσό φόρου προς καταβολή (χρεωστικές), οι οποίες έληξαν από 1.8.2021 έως την 30.9.2021 και</w:t>
      </w:r>
    </w:p>
    <w:p>
      <w:pPr>
        <w:pStyle w:val="StructureList1"/>
        <w:spacing w:before="120" w:after="0"/>
        <w:rPr>
          <w:lang w:val="el" w:eastAsia="el"/>
        </w:rPr>
      </w:pPr>
      <w:r>
        <w:rPr>
          <w:lang w:val="el" w:eastAsia="el"/>
        </w:rPr>
        <w:t>β)</w:t>
      </w:r>
      <w:r>
        <w:rPr>
          <w:lang w:val="en" w:eastAsia="en"/>
        </w:rPr>
        <w:tab/>
      </w:r>
      <w:r>
        <w:rPr>
          <w:b/>
          <w:bCs/>
          <w:lang w:val="el" w:eastAsia="el"/>
        </w:rPr>
        <w:t>για Φ.Π.Α. που βεβαιώθηκε ή θα βεβαιωθεί στις Δ.Ο.Υ. βάσει εμπρόθεσμης υποβολής δηλώσεων Φ.Π.Α. με καταληκτική ημερομηνία υποβολής από την 30.9.2021 έως και την 31.12.2021, ώστε οι οφειλές που βεβαιώθηκαν κατά τη διάρκεια του Σεπτεμβρίου 2021 να καταβάλλονται μέχρι την 31η Αυγούστου 2022, ενώ οι οφειλές που βεβαιώνονται ή βεβαιώθηκαν τους μήνες Οκτώβριο, Νοέμβριο και Δεκέμβριο του έτους 2021, να καταβάλλονται μέχρι την τελευταία εργάσιμη ημέρα του μηνός Αυγούστου του έτους 2022 αντίστοιχα.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2Δικαιούχοι - Προϋποθέσεις Υπαγωγής</w:t>
      </w:r>
    </w:p>
    <w:p>
      <w:pPr>
        <w:spacing w:before="240" w:after="240"/>
        <w:rPr>
          <w:lang w:val="el" w:eastAsia="el"/>
        </w:rPr>
      </w:pPr>
      <w:r>
        <w:rPr>
          <w:lang w:val="el" w:eastAsia="el"/>
        </w:rPr>
        <w:t xml:space="preserve">1 </w:t>
      </w:r>
      <w:r>
        <w:rPr>
          <w:b/>
          <w:bCs/>
          <w:lang w:val="el" w:eastAsia="el"/>
        </w:rPr>
        <w:t>.Δικαιούχοι της παράτασης καταβολής του Φ.Π.Α. είναι οι κομιστές αξιογράφων οι οποίοι δεν έχουν την έδρα της επιχείρησής τους στους Δήμους Ιστιαίας - Αιδηψού και Μαντουδίου - Λίμνης - Αγίας Άννας της Περιφερειακής Ενότητας Ευβοίας της Περιφέρειας Στερεάς Ελλάδας, οι οποίοι κηρύχθηκαν σε κατάσταση έκτακτης ανάγκης δυνάμει των υπ’ αρ. 7076/3.8.2021, 13374/5.8.2021 και 7248/6.8.2021 αποφάσεων του Γενικού Γραμματέα Πολιτικής Προστασίας, και εφόσον το σύνολο της αξίας των αξιογράφων που διαθέτουν προς εμφάνιση και πληρωμή και αναστέλλεται</w:t>
      </w:r>
    </w:p>
    <w:p>
      <w:pPr>
        <w:spacing w:before="240" w:after="240"/>
        <w:rPr>
          <w:lang w:val="el" w:eastAsia="el"/>
        </w:rPr>
      </w:pPr>
      <w:r>
        <w:rPr>
          <w:b/>
          <w:bCs/>
          <w:lang w:val="el" w:eastAsia="el"/>
        </w:rPr>
        <w:t>είναι μεγαλύτερο του είκοσι τοις εκατό (20%) του μέσου μηνιαίου κύκλου συναλλαγών τους του αμέσως προηγούμενου φορολογικού έτους.</w:t>
      </w:r>
    </w:p>
    <w:p>
      <w:pPr>
        <w:spacing w:before="240" w:after="240"/>
        <w:rPr>
          <w:lang w:val="el" w:eastAsia="el"/>
        </w:rPr>
      </w:pPr>
      <w:r>
        <w:rPr>
          <w:lang w:val="el" w:eastAsia="el"/>
        </w:rPr>
        <w:t xml:space="preserve">2 </w:t>
      </w:r>
      <w:r>
        <w:rPr>
          <w:b/>
          <w:bCs/>
          <w:lang w:val="el" w:eastAsia="el"/>
        </w:rPr>
        <w:t>.Η προϋπόθεση του μέσου μηνιαίου κύκλου συναλλαγών του αμέσως προηγούμενου φορολογικού έτους 2020, υπολογίζεται ως ακολούθως:</w:t>
      </w:r>
    </w:p>
    <w:p>
      <w:pPr>
        <w:pStyle w:val="StructureList1"/>
        <w:spacing w:before="120" w:after="0"/>
        <w:rPr>
          <w:lang w:val="el" w:eastAsia="el"/>
        </w:rPr>
      </w:pPr>
      <w:r>
        <w:rPr>
          <w:lang w:val="el" w:eastAsia="el"/>
        </w:rPr>
        <w:t>α)</w:t>
      </w:r>
      <w:r>
        <w:rPr>
          <w:lang w:val="en" w:eastAsia="en"/>
        </w:rPr>
        <w:tab/>
      </w:r>
      <w:r>
        <w:rPr>
          <w:b/>
          <w:bCs/>
          <w:lang w:val="el" w:eastAsia="el"/>
        </w:rPr>
        <w:t>Για τις επιχειρήσεις που είναι υποκείμενες σε ΦΠΑ, με βάση τις συνολικές εκροές που έχουν περιληφθεί σε αρχικές και τροποποιητικές, εμπρόθεσμες ή εκπρόθεσμες δηλώσεις Φ.Π.Α., όπως αυτές έχουν αναγραφεί στον κωδικό 312 της δήλωσης Φ.Π.Α. των οικείων φορολογικών περιόδων.</w:t>
      </w:r>
    </w:p>
    <w:p>
      <w:pPr>
        <w:pStyle w:val="StructureList1"/>
        <w:spacing w:before="120" w:after="0"/>
        <w:rPr>
          <w:lang w:val="el" w:eastAsia="el"/>
        </w:rPr>
      </w:pPr>
      <w:r>
        <w:rPr>
          <w:lang w:val="el" w:eastAsia="el"/>
        </w:rPr>
        <w:t>β)</w:t>
      </w:r>
      <w:r>
        <w:rPr>
          <w:lang w:val="en" w:eastAsia="en"/>
        </w:rPr>
        <w:tab/>
      </w:r>
      <w:r>
        <w:rPr>
          <w:b/>
          <w:bCs/>
          <w:lang w:val="el" w:eastAsia="el"/>
        </w:rPr>
        <w:t>Για επιχειρήσεις που δεν υποχρεούνται εκ του νόμου σε υποβολή δήλωσης Φ.Π.Α., λαμβάνονται υπόψιν: βα) Για όσες έχει παρέλθει η καταληκτική ημερομηνία υποβολής τους τα ακαθάριστα έσοδα τους κατά το φορολογικό έτος 2020, όπως έχουν δηλωθεί στις οικείες δηλώσεις φορολογίας εισοδήματος, ββ) Για όσες δεν έχει παρέλθει η καταληκτική ημερομηνία υποβολής της οικείας δήλωσης φορολογίας εισοδήματος τα τηρούμενα από αυτές λογιστικά αρχεία (στοιχεία) με αναγωγή σε μηνιαία βάση. Τα ανωτέρω στοιχεία που δηλώνονται από την επιχείρηση, επαληθεύονται από τη δήλωση φορολογίας εισοδήματος, όταν αυτή υποβληθεί. βγ) Σε περίπτωση που μία επιχείρηση υπέβαλε δήλωση έναρξης εργασιών εντός του 2020, ο μέσος μηνιαίος κύκλος συναλλαγών υπολογίζεται με βάση τον αριθμό των ημερών που λειτούργησε η επιχείρηση εντός του έτους με επιμερισμό των ακαθαρίστων εσόδων της.</w:t>
      </w:r>
    </w:p>
    <w:p>
      <w:pPr>
        <w:spacing w:before="240" w:after="240"/>
        <w:rPr>
          <w:lang w:val="el" w:eastAsia="el"/>
        </w:rPr>
      </w:pPr>
      <w:r>
        <w:rPr>
          <w:lang w:val="el" w:eastAsia="el"/>
        </w:rPr>
        <w:t xml:space="preserve">3 </w:t>
      </w:r>
      <w:r>
        <w:rPr>
          <w:b/>
          <w:bCs/>
          <w:lang w:val="el" w:eastAsia="el"/>
        </w:rPr>
        <w:t>. Προκειμένου για την παράταση της καταβολής του Φ.Π.Α. ο κομιστής δύναται να επικαλείται έναντι της φορολογικής διοίκησης μόνο τα αξιόγραφα, που έχουν γνωστοποιηθεί μέσω ηλεκτρονικής διαβίβασης στα πιστωτικά ιδρύματα της περ. β’ της παρ. 1 του άρθρου 34 του ν. 4829/2021 (Α΄166) σύμφωνα με τα οριζόμενα στις διατάξεις αυτές.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3Διαδικασία υποβολής αίτησης, συνυποβαλλόμενα δικαιολογητικά </w:t>
      </w:r>
    </w:p>
    <w:p>
      <w:pPr>
        <w:spacing w:before="240" w:after="240"/>
        <w:rPr>
          <w:lang w:val="el" w:eastAsia="el"/>
        </w:rPr>
      </w:pPr>
      <w:r>
        <w:rPr>
          <w:b/>
          <w:bCs/>
          <w:lang w:val="el" w:eastAsia="el"/>
        </w:rPr>
        <w:t>–ευεργετήματα</w:t>
      </w:r>
    </w:p>
    <w:p>
      <w:pPr>
        <w:pStyle w:val="MainText"/>
        <w:spacing w:before="120" w:after="0"/>
        <w:rPr>
          <w:lang w:val="el" w:eastAsia="el"/>
        </w:rPr>
      </w:pPr>
      <w:r>
        <w:rPr>
          <w:b/>
          <w:bCs/>
          <w:lang w:val="el" w:eastAsia="el"/>
        </w:rPr>
        <w:t>1.</w:t>
      </w:r>
      <w:r>
        <w:rPr>
          <w:lang w:val="el" w:eastAsia="el"/>
        </w:rPr>
        <w:t xml:space="preserve"> </w:t>
      </w:r>
      <w:r>
        <w:rPr>
          <w:b/>
          <w:bCs/>
          <w:lang w:val="el" w:eastAsia="el"/>
        </w:rPr>
        <w:t>Η αίτηση για την υπαγωγή στην παράταση καταβολής Φ.Π.Α. υποβάλλεται ηλεκτρονικά στη διαδικτυακή ηλεκτρονική πλατφόρμα «myBusinessSupport» της Ανεξάρτητης Αρχής Δημοσίων Εσόδων (ΑΑΔΕ) από τους δικαιούχους ή τους νομίμους εκπροσώπους αυτών έως και τις 07.02.2022</w:t>
      </w:r>
    </w:p>
    <w:p>
      <w:pPr>
        <w:pStyle w:val="MainText"/>
        <w:spacing w:before="120" w:after="0"/>
        <w:rPr>
          <w:lang w:val="el" w:eastAsia="el"/>
        </w:rPr>
      </w:pPr>
      <w:r>
        <w:rPr>
          <w:b/>
          <w:bCs/>
          <w:lang w:val="el" w:eastAsia="el"/>
        </w:rPr>
        <w:t>2.</w:t>
      </w:r>
      <w:r>
        <w:rPr>
          <w:lang w:val="el" w:eastAsia="el"/>
        </w:rPr>
        <w:t xml:space="preserve"> </w:t>
      </w:r>
      <w:r>
        <w:rPr>
          <w:b/>
          <w:bCs/>
          <w:lang w:val="el" w:eastAsia="el"/>
        </w:rPr>
        <w:t>Η αίτηση, η οποία υπέχει θέση υπεύθυνης δήλωσης του ν. 1599/1986, περιλαμβάνει όλα τα απαραίτητα στοιχεία για τον έλεγχο της πλήρωσης των προϋποθέσεων του άρθρου 2 και ιδίως τα στοιχεία των αξιογράφων δυνάμει των οποίων γίνεται η αίτηση υπαγωγής στα ευεργετήματα της περ. α΄ της παρ. 2 του άρθρου 34 του ν. 4829/2021 (Α’ 166) και ειδικότερα τον Α.Φ.Μ. του εκδότη κάθε αξιογράφου, τον αριθμό και την ημερομηνία έκδοσης αυτού, το ποσό και το πιστωτικό ίδρυμα της περ. β’ της παρ. 1 του άρθρου 34 του ν. 4829/2021 (Α’ 166), καθώς και το ύψος των ακαθαρίστων εσόδων για το φορολογικό έτος 2020, όπως προκύπτει από τα λογιστικά αρχεία (στοιχεία) της επιχείρησης και μεταφέρεται στην οικεία δήλωση φορολογίας εισοδήματος για τις δικαιούχους επιχειρήσεις της υποπερ. ββ΄ της περ. β΄ της παρ. 1 του άρθρου 2 της παρούσας.</w:t>
      </w:r>
    </w:p>
    <w:p>
      <w:pPr>
        <w:spacing w:before="240" w:after="240"/>
        <w:rPr>
          <w:lang w:val="el" w:eastAsia="el"/>
        </w:rPr>
      </w:pPr>
      <w:r>
        <w:rPr>
          <w:b/>
          <w:bCs/>
          <w:lang w:val="el" w:eastAsia="el"/>
        </w:rPr>
        <w:t>Σε περίπτωση που έχουν δηλωθεί ψευδή ή ανακριβή στοιχεία, πέραν των συνεπειών της ψευδούς δήλωσης, επέρχεται απώλεια των ευεργετημάτων και οι σχετικές οφειλές είναι απαιτητές σύμφωνα με τα στοιχεία της αρχικής βεβαίωσης.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Τρόπος αποστολής ή διαβίβασης πληροφοριών από τα Πιστωτικά Ιδρύματα στηνΑΑΔΕ για τον έλεγχο της πλήρωσης των προϋποθέσεων του άρθρου 2</w:t>
      </w:r>
    </w:p>
    <w:p>
      <w:pPr>
        <w:pStyle w:val="MainText"/>
        <w:spacing w:before="120" w:after="0"/>
        <w:rPr>
          <w:lang w:val="el" w:eastAsia="el"/>
        </w:rPr>
      </w:pPr>
      <w:r>
        <w:rPr>
          <w:b/>
          <w:bCs/>
          <w:lang w:val="el" w:eastAsia="el"/>
        </w:rPr>
        <w:t>1.</w:t>
      </w:r>
      <w:r>
        <w:rPr>
          <w:lang w:val="el" w:eastAsia="el"/>
        </w:rPr>
        <w:t xml:space="preserve"> </w:t>
      </w:r>
      <w:r>
        <w:rPr>
          <w:b/>
          <w:bCs/>
          <w:lang w:val="el" w:eastAsia="el"/>
        </w:rPr>
        <w:t>Τα πιστωτικά ιδρύματα της περ. β’ της παρ. 1 του άρθρου 34 του ν. 4829/2021 (Α’ 166) για τον έλεγχο της πλήρωσης των προϋποθέσεων του άρθρου 2, διαβιβάζουν στην ΑΑΔΕ, κατόπιν αιτήματός της, στοιχεία και πληροφορίες για τα αξιόγραφα που έχουν γνωστοποιηθεί σε αυτά δυνάμει των ως άνω διατάξεων και ιδίως τον Α.Φ.Μ. του εκδότη, τον αριθμό και την ημερομηνία έκδοσης του αξιογράφου, το ποσό και τον αριθμό λογαριασμού, σε μορφή IBAN, του εκδότη.</w:t>
      </w:r>
    </w:p>
    <w:p>
      <w:pPr>
        <w:pStyle w:val="MainText"/>
        <w:spacing w:before="120" w:after="0"/>
        <w:rPr>
          <w:lang w:val="el" w:eastAsia="el"/>
        </w:rPr>
      </w:pPr>
      <w:r>
        <w:rPr>
          <w:b/>
          <w:bCs/>
          <w:lang w:val="el" w:eastAsia="el"/>
        </w:rPr>
        <w:t>2.</w:t>
      </w:r>
      <w:r>
        <w:rPr>
          <w:lang w:val="el" w:eastAsia="el"/>
        </w:rPr>
        <w:t xml:space="preserve"> </w:t>
      </w:r>
      <w:r>
        <w:rPr>
          <w:b/>
          <w:bCs/>
          <w:lang w:val="el" w:eastAsia="el"/>
        </w:rPr>
        <w:t>Η διαβίβαση των στοιχείων της παρ. 1 γίνεται απευθείας στην ΑΑΔΕ μέσω ασφαλούς συστήματος μεταφοράς αρχείου. Ειδικά για χρηματοδοτικά ιδρύματα γίνεται μέσω της «Διατραπεζικά Συστήματα Α.Ε.» (ΔΙΑΣ).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 &amp; Δ</w:t>
      </w:r>
    </w:p>
    <w:p>
      <w:pPr>
        <w:pStyle w:val="MainText"/>
        <w:spacing w:before="120" w:after="0"/>
        <w:rPr>
          <w:lang w:val="el" w:eastAsia="el"/>
        </w:rPr>
      </w:pPr>
      <w:r>
        <w:rPr>
          <w:b/>
          <w:bCs/>
          <w:lang w:val="el" w:eastAsia="el"/>
        </w:rPr>
        <w:t>2.</w:t>
      </w:r>
      <w:r>
        <w:rPr>
          <w:lang w:val="el" w:eastAsia="el"/>
        </w:rPr>
        <w:t xml:space="preserve"> </w:t>
      </w:r>
      <w:r>
        <w:rPr>
          <w:b/>
          <w:bCs/>
          <w:lang w:val="el" w:eastAsia="el"/>
        </w:rPr>
        <w:t>Δ/νση Ηλεκτρονικής Διακυβέρνησης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και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Γραφεία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 Β, Ε, ΣΤ, Ζ, Η, Θ, Ι, ΙΒ, ΙΔ, ΙΕ, ΙΣΤ.</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Γραφεία κ.κ. Γεν. Διευθυντών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Εισπράξεων και Επιστροφών- Τμήματα Α, Β, Γ, Δ, Ε, Γραμματεία</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Εφαρμογής Έμμεσης Φορολογίας- Τμήμα Α,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Εφαρμογής Άμεσης Φορολογίας- Τμήματα Α, Β,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