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Β2β/οικ. 6316</w:t>
      </w:r>
    </w:p>
    <w:p>
      <w:pPr>
        <w:spacing w:before="240" w:after="240"/>
        <w:rPr>
          <w:lang w:val="el" w:eastAsia="el"/>
        </w:rPr>
      </w:pPr>
      <w:r>
        <w:rPr>
          <w:b/>
          <w:bCs/>
          <w:lang w:val="el" w:eastAsia="el"/>
        </w:rPr>
        <w:t>Τροποποίηση της υπό στοιχεία Β2β/οικ.72308/21 απόφασης «Ρύθμιση οφειλών παρόχων κατ’ εξουσιοδότηση του άρθρου 10 του ν. 4647/2019» (Β’ 5436).</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34 του ν. 3918/2011 «Διαρθρωτικές αλλαγές στο σύστημα υγείας και άλλες διατάξεις» (Α’ 31), όπως τροποποιήθηκε με το άρθρο 28 του ν. 4816/2021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w:t>
      </w:r>
    </w:p>
    <w:p>
      <w:pPr>
        <w:spacing w:before="240" w:after="240"/>
        <w:rPr>
          <w:lang w:val="el" w:eastAsia="el"/>
        </w:rPr>
      </w:pPr>
      <w:r>
        <w:rPr>
          <w:lang w:val="el" w:eastAsia="el"/>
        </w:rPr>
        <w:t>2.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3. Το άρθρο 90 του Κώδικα Νομοθεσίας για την Κυβέρνηση και τα κυβερνητικά όργανα (π.δ. 63/2005, Α’ 98), σε συνδυασμό με την παρ. 22 του άρθρου 119 του ν. 4622/2019 (Α’ 133).</w:t>
      </w:r>
    </w:p>
    <w:p>
      <w:pPr>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5. Το π.δ. 121/2017 «Οργανισμός του Υπουργείου Υγείας» (Α’ 128).</w:t>
      </w:r>
    </w:p>
    <w:p>
      <w:pPr>
        <w:spacing w:before="240" w:after="240"/>
        <w:rPr>
          <w:lang w:val="el" w:eastAsia="el"/>
        </w:rPr>
      </w:pPr>
      <w:r>
        <w:rPr>
          <w:lang w:val="el" w:eastAsia="el"/>
        </w:rPr>
        <w:t>6. Το π.δ. 68/2021 «Διορισμός Υπουργών, Αναπληρώτριας Υπουργού και Υφυπουργών» (Α’ 155).</w:t>
      </w:r>
    </w:p>
    <w:p>
      <w:pPr>
        <w:spacing w:before="240" w:after="240"/>
        <w:rPr>
          <w:lang w:val="el" w:eastAsia="el"/>
        </w:rPr>
      </w:pPr>
      <w:r>
        <w:rPr>
          <w:lang w:val="el" w:eastAsia="el"/>
        </w:rPr>
        <w:t>7. Την υπ’ αρ. 70781/11-11-2021 εισήγηση του ΓΔΟΥ, της περ. (ε) της παρ. 5 του άρθρου 24 του ν. 4270/2014.</w:t>
      </w:r>
    </w:p>
    <w:p>
      <w:pPr>
        <w:spacing w:before="240" w:after="240"/>
        <w:rPr>
          <w:lang w:val="el" w:eastAsia="el"/>
        </w:rPr>
      </w:pPr>
      <w:r>
        <w:rPr>
          <w:lang w:val="el" w:eastAsia="el"/>
        </w:rPr>
        <w:t>8. Την υπό στοιχεία Α1α/οικ. 17148/10-03-2020 απόφαση του Υπουργού Υγείας «Διορισμός Υπηρεσιακού Γραμματέα του Υπουργείου Υγείας» (Υ.Ο.Δ.Δ. 196),</w:t>
      </w:r>
    </w:p>
    <w:p>
      <w:pPr>
        <w:spacing w:before="240" w:after="240"/>
        <w:rPr>
          <w:lang w:val="el" w:eastAsia="el"/>
        </w:rPr>
      </w:pPr>
      <w:r>
        <w:rPr>
          <w:lang w:val="el" w:eastAsia="el"/>
        </w:rPr>
        <w:t>9. Το άρθρο 10 του ν. 4647/2019 «Κατεπείγουσες ρυθμίσεις αρμοδιότητας των Υπουργείων Υγείας, Εσωτερικών, Εργασίας και Κοινωνικών Υποθέσεων και άλλες διατάξεις» (Α’ 204).</w:t>
      </w:r>
    </w:p>
    <w:p>
      <w:pPr>
        <w:spacing w:before="240" w:after="240"/>
        <w:rPr>
          <w:lang w:val="el" w:eastAsia="el"/>
        </w:rPr>
      </w:pPr>
      <w:r>
        <w:rPr>
          <w:lang w:val="el" w:eastAsia="el"/>
        </w:rPr>
        <w:t>10. Το άρθρο 100 του ν. 4172/2013 «Φορολογία εισοδήματος, επείγοντα μέτρα εφαρμογής του ν. 4046/2012, του ν. 4093/2012 και του ν. 4127/2013 και άλλες διατάξεις» (Α’ 167).</w:t>
      </w:r>
    </w:p>
    <w:p>
      <w:pPr>
        <w:spacing w:before="240" w:after="240"/>
        <w:rPr>
          <w:lang w:val="el" w:eastAsia="el"/>
        </w:rPr>
      </w:pPr>
      <w:r>
        <w:rPr>
          <w:lang w:val="el" w:eastAsia="el"/>
        </w:rPr>
        <w:t>11. Την υπό στοιχεία Β2β/Γ.Π.οικ. 72308/2021 απόφαση του Υπουργού Υγείας «Ρύθμιση οφειλών παρόχων κατ’ εξουσιοδότηση του άρθρου 10 του ν. 4647/2019».</w:t>
      </w:r>
    </w:p>
    <w:p>
      <w:pPr>
        <w:spacing w:before="240" w:after="240"/>
        <w:rPr>
          <w:lang w:val="el" w:eastAsia="el"/>
        </w:rPr>
      </w:pPr>
      <w:r>
        <w:rPr>
          <w:lang w:val="el" w:eastAsia="el"/>
        </w:rPr>
        <w:t>12. Το υπό στοιχεία ΔΑ/2/οικ.1649/20-01-2022 έγγραφο του ΕΟΠΥΥ.</w:t>
      </w:r>
    </w:p>
    <w:p>
      <w:pPr>
        <w:spacing w:before="240" w:after="240"/>
        <w:rPr>
          <w:lang w:val="el" w:eastAsia="el"/>
        </w:rPr>
      </w:pPr>
      <w:r>
        <w:rPr>
          <w:lang w:val="el" w:eastAsia="el"/>
        </w:rPr>
        <w:t>13. Την υπό στοιχεία Β2β/Γ.Π.οικ.3501/28-01-2022 εισήγηση του ΓΔΟΥ της περ. (ε) της παρ. 5 του άρθρου 24 του ν. 4270/2014.</w:t>
      </w:r>
    </w:p>
    <w:p>
      <w:pPr>
        <w:spacing w:before="240" w:after="240"/>
        <w:rPr>
          <w:lang w:val="el" w:eastAsia="el"/>
        </w:rPr>
      </w:pPr>
      <w:r>
        <w:rPr>
          <w:lang w:val="el" w:eastAsia="el"/>
        </w:rPr>
        <w:t>14. Την ανάγκη καθορισμού των δόσεων, της διαδικασίας είσπραξης καθώς και κάθε αναγκαίας διαδικαστικής λεπτομέρειας για την υπαγωγή στην εν λόγω ρύθμιση.</w:t>
      </w:r>
    </w:p>
    <w:p>
      <w:pPr>
        <w:spacing w:before="240" w:after="240"/>
        <w:rPr>
          <w:lang w:val="el" w:eastAsia="el"/>
        </w:rPr>
      </w:pPr>
      <w:r>
        <w:rPr>
          <w:lang w:val="el" w:eastAsia="el"/>
        </w:rPr>
        <w:t>15. Το γεγονός ότι από την παρούσα δεν προκαλείται δαπάνη σε βάρος του προϋπολογισμού του ΕΟΠΥΥ και του τακτικού προϋπολογισμού του Υπουργείου Υγείας, αποφασίζουμε:</w:t>
      </w:r>
    </w:p>
    <w:p>
      <w:pPr>
        <w:spacing w:before="240" w:after="240"/>
        <w:rPr>
          <w:lang w:val="el" w:eastAsia="el"/>
        </w:rPr>
      </w:pPr>
      <w:r>
        <w:rPr>
          <w:lang w:val="el" w:eastAsia="el"/>
        </w:rPr>
        <w:t>Την τροποποίηση του τελευταίου εδαφίου της παρ. 2 του άρθρου 1 της υπό στοιχεία Β2β/οικ.72308/21 (Β’ 5436) υπουργικής απόφασης, ως ακολούθως:</w:t>
      </w:r>
    </w:p>
    <w:p>
      <w:pPr>
        <w:spacing w:before="240" w:after="240"/>
        <w:rPr>
          <w:lang w:val="el" w:eastAsia="el"/>
        </w:rPr>
      </w:pPr>
      <w:r>
        <w:rPr>
          <w:lang w:val="el" w:eastAsia="el"/>
        </w:rPr>
        <w:t>«Ως καταληκτική ημερομηνία υποβολής της αίτησης ορίζεται η 10η Φεβρουαρίου 2022».</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3 Φεβρουαρίου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