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I. 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lang w:val="el" w:eastAsia="el"/>
        </w:rPr>
        <w:t xml:space="preserve">II. </w:t>
      </w:r>
      <w:r>
        <w:rPr>
          <w:b/>
          <w:bCs/>
          <w:lang w:val="el" w:eastAsia="el"/>
        </w:rPr>
        <w:t>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ΥΠΟΔΙΕΥΘΥΝΣΗ Α΄</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w:t>
      </w:r>
    </w:p>
    <w:p>
      <w:pPr>
        <w:pStyle w:val="Heading1"/>
        <w:spacing w:before="240" w:after="240"/>
        <w:rPr>
          <w:lang w:val="el" w:eastAsia="el"/>
        </w:rPr>
      </w:pPr>
      <w:r>
        <w:rPr>
          <w:b/>
          <w:bCs/>
          <w:lang w:val="el" w:eastAsia="el"/>
        </w:rPr>
        <w:t>ΤΜΗΜΑ Ε΄</w:t>
      </w:r>
    </w:p>
    <w:p>
      <w:pPr>
        <w:pStyle w:val="Heading1"/>
        <w:spacing w:before="240" w:after="240"/>
        <w:rPr>
          <w:lang w:val="el" w:eastAsia="el"/>
        </w:rPr>
      </w:pPr>
      <w:r>
        <w:rPr>
          <w:b/>
          <w:bCs/>
          <w:lang w:val="el" w:eastAsia="el"/>
        </w:rPr>
        <w:t>ΠΡΟΣ: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 xml:space="preserve">Χανδρή 1 και Θεσ/κης 18346 Μοσχάτο 210 480 2243/2873 </w:t>
      </w:r>
      <w:hyperlink r:id="rId4" w:history="1">
        <w:r>
          <w:rPr>
            <w:rStyle w:val="Hyperlink"/>
            <w:b/>
            <w:bCs/>
            <w:color w:val="0000EE"/>
            <w:u w:color="0000EE"/>
            <w:lang w:val="el" w:eastAsia="el"/>
          </w:rPr>
          <w:t>d.eleg11@aade.gr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«Επικαιροποίηση στη ψηφιακή πύλη myAADE των στοιχείων επικοινωνίας των πιστοποιημένων χρηστών των ηλεκτρονικών υπηρεσιών της Ανεξάρτητης Αρχής Δημοσίων Εσόδων».</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 10 και 11 του ν. 4174/2013 (A’ 170),</w:t>
      </w:r>
    </w:p>
    <w:p>
      <w:pPr>
        <w:pStyle w:val="StructureList1"/>
        <w:spacing w:before="120" w:after="0"/>
        <w:rPr>
          <w:lang w:val="el" w:eastAsia="el"/>
        </w:rPr>
      </w:pPr>
      <w:r>
        <w:rPr>
          <w:lang w:val="el" w:eastAsia="el"/>
        </w:rPr>
        <w:t>β)</w:t>
      </w:r>
      <w:r>
        <w:rPr>
          <w:lang w:val="en" w:eastAsia="en"/>
        </w:rPr>
        <w:tab/>
      </w:r>
      <w:r>
        <w:rPr>
          <w:b/>
          <w:bCs/>
          <w:lang w:val="el" w:eastAsia="el"/>
        </w:rPr>
        <w:t>του Κεφ. Α΄του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του άρθρου 24 του ν. 4865/2021 «Σύσταση και οργάνωση νομικού προσώπου ιδιωτικού δικαίου με την επωνυμία «Εθνική Κεντρική Αρχή Προμηθειών Υγείας», στρατηγική κεντρικών προμηθειών προϊόντων και υπηρεσιών υγείας και άλλες επείγουσες διατάξεις για τη δημόσια υγεία και την κοινωνική πρόνοια» και ιδίως της περ. α) της παρ. 7 αυτού (Α' 238),</w:t>
      </w:r>
    </w:p>
    <w:p>
      <w:pPr>
        <w:pStyle w:val="StructureList1"/>
        <w:spacing w:before="120" w:after="0"/>
        <w:rPr>
          <w:lang w:val="el" w:eastAsia="el"/>
        </w:rPr>
      </w:pPr>
      <w:r>
        <w:rPr>
          <w:lang w:val="el" w:eastAsia="el"/>
        </w:rPr>
        <w:t>δ)</w:t>
      </w:r>
      <w:r>
        <w:rPr>
          <w:lang w:val="en" w:eastAsia="en"/>
        </w:rPr>
        <w:tab/>
      </w:r>
      <w:r>
        <w:rPr>
          <w:b/>
          <w:bCs/>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 Α 1115805 ΕΞ 2017/31-07-2017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(Β΄2743).</w:t>
      </w:r>
    </w:p>
    <w:p>
      <w:pPr>
        <w:spacing w:before="240" w:after="240"/>
        <w:rPr>
          <w:lang w:val="el" w:eastAsia="el"/>
        </w:rPr>
      </w:pPr>
      <w:r>
        <w:rPr>
          <w:lang w:val="el" w:eastAsia="el"/>
        </w:rPr>
        <w:t xml:space="preserve">2. </w:t>
      </w:r>
      <w:r>
        <w:rPr>
          <w:b/>
          <w:bCs/>
          <w:lang w:val="el" w:eastAsia="el"/>
        </w:rPr>
        <w:t>Τις υπό στοιχεία:</w:t>
      </w:r>
    </w:p>
    <w:p>
      <w:pPr>
        <w:pStyle w:val="StructureList1"/>
        <w:spacing w:before="120" w:after="0"/>
        <w:rPr>
          <w:lang w:val="el" w:eastAsia="el"/>
        </w:rPr>
      </w:pPr>
      <w:r>
        <w:rPr>
          <w:lang w:val="el" w:eastAsia="el"/>
        </w:rPr>
        <w:t>α)</w:t>
      </w:r>
      <w:r>
        <w:rPr>
          <w:lang w:val="en" w:eastAsia="en"/>
        </w:rPr>
        <w:tab/>
      </w:r>
      <w:r>
        <w:rPr>
          <w:b/>
          <w:bCs/>
          <w:lang w:val="el" w:eastAsia="el"/>
        </w:rPr>
        <w:t>ΠΟΛ. 1006/31-12-2013 απόφαση του Γενικού Γραμματέα Δημοσίων Εσόδων, «Διαδικασία και δικαιολογητικά Απόδοσης Αριθμού Φορολογικού Μητρώου (Α.Φ.Μ.)/ Μεταβολής Στοιχείων και Έναρξης / Μεταβολής και Διακοπής Επιχειρηματικής Δραστηριότητας» (Β΄19),</w:t>
      </w:r>
    </w:p>
    <w:p>
      <w:pPr>
        <w:pStyle w:val="StructureList1"/>
        <w:spacing w:before="120" w:after="0"/>
        <w:rPr>
          <w:lang w:val="el" w:eastAsia="el"/>
        </w:rPr>
      </w:pPr>
      <w:r>
        <w:rPr>
          <w:lang w:val="el" w:eastAsia="el"/>
        </w:rPr>
        <w:t>β)</w:t>
      </w:r>
      <w:r>
        <w:rPr>
          <w:lang w:val="en" w:eastAsia="en"/>
        </w:rPr>
        <w:tab/>
      </w:r>
      <w:r>
        <w:rPr>
          <w:b/>
          <w:bCs/>
          <w:lang w:val="el" w:eastAsia="el"/>
        </w:rPr>
        <w:t>ΠΟΛ. 1125/16-04-2014 απόφαση του Γενικού Γραμματέα Δημοσίων Εσόδων «Καθορισμός λεπτομερειών εφαρμογής των διατάξεων της παρ. 6 του άρθρου 5 του ν.4174/2013 (Α΄ 170), για την ηλεκτρονική κοινοποίηση πράξεων της Φορολογικής Διοίκησης» (Β΄1171),</w:t>
      </w:r>
    </w:p>
    <w:p>
      <w:pPr>
        <w:pStyle w:val="StructureList1"/>
        <w:spacing w:before="120" w:after="0"/>
        <w:rPr>
          <w:lang w:val="el" w:eastAsia="el"/>
        </w:rPr>
      </w:pPr>
      <w:r>
        <w:rPr>
          <w:lang w:val="el" w:eastAsia="el"/>
        </w:rPr>
        <w:t>γ)</w:t>
      </w:r>
      <w:r>
        <w:rPr>
          <w:lang w:val="en" w:eastAsia="en"/>
        </w:rPr>
        <w:tab/>
      </w:r>
      <w:r>
        <w:rPr>
          <w:b/>
          <w:bCs/>
          <w:lang w:val="el" w:eastAsia="el"/>
        </w:rPr>
        <w:t>ΠΟΛ. 1104/12-07-2017 εγκύκλιο του Διοικητή της ΑΑΔΕ «Παροχή Διευκρινίσεων ως προς την εφαρμογή των άρθρων 80 και 81 του ν.3463/2006»,</w:t>
      </w:r>
    </w:p>
    <w:p>
      <w:pPr>
        <w:pStyle w:val="StructureList1"/>
        <w:spacing w:before="120" w:after="0"/>
        <w:rPr>
          <w:lang w:val="el" w:eastAsia="el"/>
        </w:rPr>
      </w:pPr>
      <w:r>
        <w:rPr>
          <w:lang w:val="el" w:eastAsia="el"/>
        </w:rPr>
        <w:t>δ)</w:t>
      </w:r>
      <w:r>
        <w:rPr>
          <w:lang w:val="en" w:eastAsia="en"/>
        </w:rPr>
        <w:tab/>
      </w:r>
      <w:r>
        <w:rPr>
          <w:b/>
          <w:bCs/>
          <w:lang w:val="el" w:eastAsia="el"/>
        </w:rPr>
        <w:t>Ε. 2133/08-07-2019 εγκύκλιο του Διοικητή της ΑΑΔΕ «Παροχή Διευκρινίσεων ως προς την εφαρμογή των άρθρων 80 και 81 του ν.3463/2006»,</w:t>
      </w:r>
    </w:p>
    <w:p>
      <w:pPr>
        <w:pStyle w:val="StructureList1"/>
        <w:spacing w:before="120" w:after="0"/>
        <w:rPr>
          <w:lang w:val="el" w:eastAsia="el"/>
        </w:rPr>
      </w:pPr>
      <w:r>
        <w:rPr>
          <w:lang w:val="el" w:eastAsia="el"/>
        </w:rPr>
        <w:t>ε)</w:t>
      </w:r>
      <w:r>
        <w:rPr>
          <w:lang w:val="en" w:eastAsia="en"/>
        </w:rPr>
        <w:tab/>
      </w:r>
      <w:r>
        <w:rPr>
          <w:b/>
          <w:bCs/>
          <w:lang w:val="el" w:eastAsia="el"/>
        </w:rPr>
        <w:t>ΠΟΛ. 1178/07-12-2010 απόφαση του Υπουργού Οικονομικών «Εγγραφή νέων χρηστών στις ηλεκτρονικές υπηρεσίες TAXISnet» (Β΄1916),</w:t>
      </w:r>
    </w:p>
    <w:p>
      <w:pPr>
        <w:pStyle w:val="StructureList1"/>
        <w:spacing w:before="120" w:after="0"/>
        <w:rPr>
          <w:lang w:val="el" w:eastAsia="el"/>
        </w:rPr>
      </w:pPr>
      <w:r>
        <w:rPr>
          <w:lang w:val="el" w:eastAsia="el"/>
        </w:rPr>
        <w:t>στ)</w:t>
      </w:r>
      <w:r>
        <w:rPr>
          <w:lang w:val="en" w:eastAsia="en"/>
        </w:rPr>
        <w:tab/>
      </w:r>
      <w:r>
        <w:rPr>
          <w:b/>
          <w:bCs/>
          <w:lang w:val="el" w:eastAsia="el"/>
        </w:rPr>
        <w:t>Α. 1082/10-04-2020 απόφαση του Διοικητή της ΑΑΔΕ «Εγγραφή νέων χρηστών και επανεγγραφή χρηστών στις ηλεκτρονικές υπηρεσίες TΑXISnet» (Β΄1303).</w:t>
      </w:r>
    </w:p>
    <w:p>
      <w:pPr>
        <w:spacing w:before="240" w:after="240"/>
        <w:rPr>
          <w:lang w:val="el" w:eastAsia="el"/>
        </w:rPr>
      </w:pPr>
      <w:r>
        <w:rPr>
          <w:lang w:val="el" w:eastAsia="el"/>
        </w:rPr>
        <w:t xml:space="preserve">3. </w:t>
      </w:r>
      <w:r>
        <w:rPr>
          <w:b/>
          <w:bCs/>
          <w:lang w:val="el" w:eastAsia="el"/>
        </w:rPr>
        <w:t>Την υπ’ αρ. 1 της 20-01-2016 Πράξη του Υπουργικού Συμβουλίου «Επιλογή και διορισμός Γενικού Γραμματέα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του Υπουργού Οικονομικών «Ανανέωση της θητείας του Διοικητή της Ανεξάρτητης Αρχής Δημοσίων Εσόδων» (Υ.Ο- .Δ.Δ. 27).</w:t>
      </w:r>
    </w:p>
    <w:p>
      <w:pPr>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Τα φυσικά και νομικά πρόσωπα, καθώς και οι νομικές οντότητες, που είναι πιστοποιημένοι χρήστες των ηλεκτρονικών υπηρεσιών της Ανεξάρτητης Αρχής Δημοσίων Εσόδων, οφείλουν να επικαιροποιούν στην ψηφιακή πύλη myAADE, στην επιλογή «Μητρώο και Επικοινωνία» και στην ενότητα «Στοιχεία Επικοινωνίας», τα στοιχεία ηλεκτρονικής επικοινωνίας τους, ήτοι τις διευθύνσεις ηλεκτρονικού ταχυδρομείου (e-mail) και τα τηλέφωνά τους (Κινητό και Σταθερό τηλέφωνο). Τα στοιχεία αυτά δύναται, κατ’ επιλογή του ενδιαφερόμενου, να συγχρονίζονται με το Εθνικό Μητρώο Επικοινωνίας (ΕΜΕπ).</w:t>
      </w:r>
    </w:p>
    <w:p>
      <w:pPr>
        <w:pStyle w:val="MainText"/>
        <w:spacing w:before="120" w:after="0"/>
        <w:rPr>
          <w:lang w:val="el" w:eastAsia="el"/>
        </w:rPr>
      </w:pPr>
      <w:r>
        <w:rPr>
          <w:b/>
          <w:bCs/>
          <w:lang w:val="el" w:eastAsia="el"/>
        </w:rPr>
        <w:t>2.</w:t>
      </w:r>
      <w:r>
        <w:rPr>
          <w:lang w:val="el" w:eastAsia="el"/>
        </w:rPr>
        <w:t xml:space="preserve"> </w:t>
      </w:r>
      <w:r>
        <w:rPr>
          <w:b/>
          <w:bCs/>
          <w:lang w:val="el" w:eastAsia="el"/>
        </w:rPr>
        <w:t>Για την ηλεκτρονική επικοινωνία ο συναλλασσόμενος με την ΑΑΔΕ δηλώνει τουλάχιστον ένα εκ των κατωτέρω:</w:t>
      </w:r>
    </w:p>
    <w:p>
      <w:pPr>
        <w:spacing w:before="240" w:after="240"/>
        <w:rPr>
          <w:lang w:val="el" w:eastAsia="el"/>
        </w:rPr>
      </w:pPr>
      <w:r>
        <w:rPr>
          <w:b/>
          <w:bCs/>
          <w:lang w:val="el" w:eastAsia="el"/>
        </w:rPr>
        <w:t>(α) «Προσωπικό e-mail», ως διεύθυνση ηλεκτρονικού ταχυδρομείου στην οποία έχει πρόσβαση ο ίδιος. Στη διεύθυνση αυτή αποστέλλονται ειδοποιήσεις για την ανάρτηση – κοινοποίηση όλων των πράξεων, εγγράφων και ενημερωτικών μηνυμάτων της Φορολογικής Διοίκησης στον λογαριασμό του φορολογούμενου στην εφαρμογή e-κοινοποιήσεις στο myAADE</w:t>
      </w:r>
      <w:r>
        <w:rPr>
          <w:lang w:val="el" w:eastAsia="el"/>
        </w:rPr>
        <w:t xml:space="preserve">, </w:t>
      </w:r>
      <w:r>
        <w:rPr>
          <w:b/>
          <w:bCs/>
          <w:lang w:val="el" w:eastAsia="el"/>
        </w:rPr>
        <w:t>περιλαμβανομένων αυτών που ενδεχομένως περιέχουν ευαίσθητα προσωπικά δεδομένα, τα οποία δεν αφορούν σε φορολογικές δηλώσεις ή φορολογικές υποχρεώσεις του πολίτη.</w:t>
      </w:r>
    </w:p>
    <w:p>
      <w:pPr>
        <w:spacing w:before="240" w:after="240"/>
        <w:rPr>
          <w:lang w:val="el" w:eastAsia="el"/>
        </w:rPr>
      </w:pPr>
      <w:r>
        <w:rPr>
          <w:b/>
          <w:bCs/>
          <w:lang w:val="el" w:eastAsia="el"/>
        </w:rPr>
        <w:t>(β) «e-mail Βοηθού Εκπλήρωσης». Ως τέτοιο δηλώνεται η ηλεκτρονική διεύθυνση του προσώπου που συναινεί να συνδράμει τον δηλούντα στην εκπλήρωση των φορολογικών ή άλλων υποχρεώσεών του. Κατά τη διαδικασία της δήλωσης της ηλεκτρονικής διεύθυνσης, ο ενδιαφερόμενος πολίτης καλείται υποχρεωτικά να επιλέξει από αποκλειστική λίστα ρόλων (ενδεικτικά, λογιστής, σύμβουλος, συγγενής/οικείο πρόσωπο) τη σχέση του με τον Βοηθό Εκπλήρωσης. Στην ηλεκτρονική διεύθυνση του Βοηθού Εκπλήρωσης αποστέλλονται ειδοποιήσεις για την ανάρτηση – κοινοποίηση στον λογαριασμό του φορολογούμενου στην εφαρμογή e-κοινοποιήσεις στο myAADE, πράξεων, εγγράφων και ενημερωτικών μηνυμάτων της ΑΑΔΕ. Σε αυτά μπορεί να περιέχονται ευαίσθητα προσωπικά δεδομένα που προκύπτουν από ή περιλαμβάνονται σε φορολογικές δηλώσεις ή φορολογικές υποχρεώσεις του πολίτη (πχ δηλώσεις Ε1, πράξεις διορθωτικού ή διοικητικού προσδιορισμού). Με την προϋπόθεση της συναίνεσης του φορολογούμενου (check-box), μπορεί να περιέχονται και προσωπικά δεδομένα (ευαίσθητα ή μη), που δεν σχετίζονται με φορολογικές υποχρεώσεις του πολίτη προς τη Φορολογική Διοίκηση (π.χ. πρόστιμα ανεμβολίαστων, κοινοποίηση ατομικών ειδοποιήσεων καταβολής μη φορολογικών υποχρεώσεων, όπως πρόστιμα τροχαίας, υποχρεώσεις υπέρ τρίτων κ.λπ.). Σε περίπτωση μη συναίνεσης, η ειδοποίηση αποστέλλεται μόνο στο «Προσωπικό e-mail» ή, εφόσον δεν έχει καταχωρηθεί τέτοιο, η κοινοποίηση πραγματοποιείται κατά τις κείμενες διατάξεις.</w:t>
      </w:r>
    </w:p>
    <w:p>
      <w:pPr>
        <w:pStyle w:val="MainText"/>
        <w:spacing w:before="120" w:after="0"/>
        <w:rPr>
          <w:lang w:val="el" w:eastAsia="el"/>
        </w:rPr>
      </w:pPr>
      <w:r>
        <w:rPr>
          <w:b/>
          <w:bCs/>
          <w:lang w:val="el" w:eastAsia="el"/>
        </w:rPr>
        <w:t>3.</w:t>
      </w:r>
      <w:r>
        <w:rPr>
          <w:lang w:val="el" w:eastAsia="el"/>
        </w:rPr>
        <w:t xml:space="preserve"> </w:t>
      </w:r>
      <w:r>
        <w:rPr>
          <w:b/>
          <w:bCs/>
          <w:lang w:val="el" w:eastAsia="el"/>
        </w:rPr>
        <w:t>Κατά τη συμπλήρωση του αριθμού κινητού τηλεφώνου, του προσωπικού e-mail και του email Βοηθού Εκπλήρωσης, τα στοιχεία επιβεβαιώνονται με την αποστολή 6ψήφιου κωδικού (αντίστοιχα στο τηλέφωνο ή στο e-mail) στον συναλλασσόμενο, για το δε τελευταίο, στον Βοηθό Εκπλήρωσης.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Η επικαιροποίηση των στοιχείων επικοινωνίας της παρ. 1 της παρούσας πρέπει να πραγματοποιείται σε κάθε μεταβολή τους. Ο φορολογούμενος δεν μπορεί να επικαλείται τις μεταβολές των στοιχείων επικοινωνίας έναντι της ΑΑΔΕ έως την ημερομηνία πραγματοποίησης της επικαιροποίησης.</w:t>
      </w:r>
    </w:p>
    <w:p>
      <w:pPr>
        <w:pStyle w:val="MainText"/>
        <w:spacing w:before="120" w:after="0"/>
        <w:rPr>
          <w:lang w:val="el" w:eastAsia="el"/>
        </w:rPr>
      </w:pPr>
      <w:r>
        <w:rPr>
          <w:b/>
          <w:bCs/>
          <w:lang w:val="el" w:eastAsia="el"/>
        </w:rPr>
        <w:t>5.</w:t>
      </w:r>
      <w:r>
        <w:rPr>
          <w:lang w:val="el" w:eastAsia="el"/>
        </w:rPr>
        <w:t xml:space="preserve"> </w:t>
      </w:r>
      <w:r>
        <w:rPr>
          <w:b/>
          <w:bCs/>
          <w:lang w:val="el" w:eastAsia="el"/>
        </w:rPr>
        <w:t>Ο Βοηθός Εκπλήρωσης δύναται να ανακτά ψηφιακά κατάλογο των συναλλασσομένων, οι οποίοι έχουν συμπληρώσει και επιβεβαιώσει, ως «e-mail Βοηθού Εκπλήρωσης» τη δική του ηλεκτρονική διεύθυνση, με την προϋπόθεση της επιβεβαίωσης μέσω κωδικού που θα λάβει στη δηλωθείσα ηλεκτρονική διεύθυνση κατά τη στιγμή της ανάκτησης. Κατόπιν της ανάκτησης, ο Βοηθός Εκπλήρωσης δύναται να ανακαλεί την ηλεκτρονική του διεύθυνση από τη μερίδα του συναλλασσομένου, υπό την προϋπόθεση ότι ο τελευταίος έχει προηγουμένως προβεί σε δήλωση «Προσωπικού e-mail».</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 – Μεταβατικές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Έως και την επικαιροποίηση των στοιχείων ηλεκτρονικής επικοινωνίας από τους φορολογούμενους, οι ήδη δηλωθείσες στην ΑΑΔΕ διευθύνσεις ηλεκτρονικού ταχυδρομείου θεωρούνται ότι αντιστοιχούν στην επιλογή «Προσωπικό e-mail». Εφόσον ο φορολογούμενος έχει ήδη δηλώσει δύο διευθύνσεις ηλεκτρονικού ταχυδρομείου, η δηλωθείσα στο πεδίο που οριζόταν ως «Mail» θεωρείται ότι αντιστοιχεί στην επιλογή «Προσωπικό e-mail», ενώ η δηλωθείσα στο πεδίο που οριζόταν ως «Επιπλέον Mail» θεωρείται ότι αντιστοιχεί στην επιλογή «e-mail Βοηθού Εκπλήρωσης». Στην περίπτωση αυτή θεωρείται ότι δεν υφίσταται η προβλεπόμενη στο προτελευταίο εδάφιο της παρ. 3 του άρθρου 1 συναίνεση.</w:t>
      </w:r>
    </w:p>
    <w:p>
      <w:pPr>
        <w:spacing w:before="240" w:after="240"/>
        <w:rPr>
          <w:lang w:val="el" w:eastAsia="el"/>
        </w:rPr>
      </w:pPr>
      <w:r>
        <w:rPr>
          <w:b/>
          <w:bCs/>
          <w:lang w:val="el" w:eastAsia="el"/>
        </w:rPr>
        <w:t>Η απόφαση αυτή ισχύει από τη δημοσίευσή της στην Εφημερίδα της Κυβερνήσεως, εξαιρουμένης της παρ. 5 του άρθρου 1, η έναρξη ισχύος της οποίας ορίζεται δύο (2) μήνες μετά την δημοσίευση της παρούσας.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Δημόσιες Οικονομικές Υπηρεσίες (Δ.Ο.Υ.)</w:t>
      </w:r>
    </w:p>
    <w:p>
      <w:pPr>
        <w:spacing w:before="240" w:after="240"/>
        <w:rPr>
          <w:lang w:val="el" w:eastAsia="el"/>
        </w:rPr>
      </w:pPr>
      <w:r>
        <w:rPr>
          <w:lang w:val="el" w:eastAsia="el"/>
        </w:rPr>
        <w:t>2. Γ.Ε.Φ. (μέσω των Δ.Ο.Υ.)</w:t>
      </w:r>
    </w:p>
    <w:p>
      <w:pPr>
        <w:spacing w:before="240" w:after="240"/>
        <w:rPr>
          <w:lang w:val="el" w:eastAsia="el"/>
        </w:rPr>
      </w:pPr>
      <w:r>
        <w:rPr>
          <w:lang w:val="el" w:eastAsia="el"/>
        </w:rPr>
        <w:t>3. Γενική Διεύθυνση Ηλεκτρονικής Διακυβέρνησης</w:t>
      </w:r>
    </w:p>
    <w:p>
      <w:pPr>
        <w:spacing w:before="240" w:after="240"/>
        <w:rPr>
          <w:lang w:val="el" w:eastAsia="el"/>
        </w:rPr>
      </w:pPr>
      <w:r>
        <w:rPr>
          <w:lang w:val="el" w:eastAsia="el"/>
        </w:rPr>
        <w:t>4. Διεύθυνση Στρατηγικής Τεχνολογιών Πληροφορικής</w:t>
      </w:r>
    </w:p>
    <w:p>
      <w:pPr>
        <w:spacing w:before="240" w:after="240"/>
        <w:rPr>
          <w:lang w:val="el" w:eastAsia="el"/>
        </w:rPr>
      </w:pPr>
      <w:r>
        <w:rPr>
          <w:lang w:val="el" w:eastAsia="el"/>
        </w:rPr>
        <w:t>(με την παράκληση να αναρτηθεί στην ιστοσελίδα της Α.Α.Δ.Ε.)</w:t>
      </w:r>
    </w:p>
    <w:p>
      <w:pPr>
        <w:spacing w:before="240" w:after="240"/>
        <w:rPr>
          <w:lang w:val="el" w:eastAsia="el"/>
        </w:rPr>
      </w:pPr>
      <w:r>
        <w:rPr>
          <w:lang w:val="el" w:eastAsia="el"/>
        </w:rPr>
        <w:t>5. Διεύθυνση Ελέγχων, Τμήμα ΙΓ΄</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Γενική Γραμματεία Φορολογικής Πολιτικής και Δημόσιας Περιουσίας</w:t>
      </w:r>
    </w:p>
    <w:p>
      <w:pPr>
        <w:spacing w:before="240" w:after="240"/>
        <w:rPr>
          <w:lang w:val="el" w:eastAsia="el"/>
        </w:rPr>
      </w:pPr>
      <w:r>
        <w:rPr>
          <w:lang w:val="el" w:eastAsia="el"/>
        </w:rPr>
        <w:t>4. Γραφείο Υπουργού Ψηφιακής Διακυβέρνησης</w:t>
      </w:r>
    </w:p>
    <w:p>
      <w:pPr>
        <w:spacing w:before="240" w:after="240"/>
        <w:rPr>
          <w:lang w:val="el" w:eastAsia="el"/>
        </w:rPr>
      </w:pPr>
      <w:r>
        <w:rPr>
          <w:lang w:val="el" w:eastAsia="el"/>
        </w:rPr>
        <w:t>5. Αποδέκτες Πίνακα Α΄ (εκτός των αριθμών 2 και 3 αυτού)</w:t>
      </w:r>
    </w:p>
    <w:p>
      <w:pPr>
        <w:spacing w:before="240" w:after="240"/>
        <w:rPr>
          <w:lang w:val="el" w:eastAsia="el"/>
        </w:rPr>
      </w:pPr>
      <w:r>
        <w:rPr>
          <w:lang w:val="el" w:eastAsia="el"/>
        </w:rPr>
        <w:t>» » Β΄</w:t>
      </w:r>
    </w:p>
    <w:p>
      <w:pPr>
        <w:spacing w:before="240" w:after="240"/>
        <w:rPr>
          <w:lang w:val="el" w:eastAsia="el"/>
        </w:rPr>
      </w:pPr>
      <w:r>
        <w:rPr>
          <w:lang w:val="el" w:eastAsia="el"/>
        </w:rPr>
        <w:t>» » Γ΄ (εκτός του αριθμ.6 αυτού)</w:t>
      </w:r>
    </w:p>
    <w:p>
      <w:pPr>
        <w:spacing w:before="240" w:after="240"/>
        <w:rPr>
          <w:lang w:val="el" w:eastAsia="el"/>
        </w:rPr>
      </w:pPr>
      <w:r>
        <w:rPr>
          <w:lang w:val="el" w:eastAsia="el"/>
        </w:rPr>
        <w:t>» » Δ΄ (εκτός του αριθμ.3 αυτού)</w:t>
      </w:r>
    </w:p>
    <w:p>
      <w:pPr>
        <w:spacing w:before="240" w:after="240"/>
        <w:rPr>
          <w:lang w:val="el" w:eastAsia="el"/>
        </w:rPr>
      </w:pPr>
      <w:r>
        <w:rPr>
          <w:lang w:val="el" w:eastAsia="el"/>
        </w:rPr>
        <w:t>» » Ζ΄ (εκτός των αριθμ.2, 3, 4, 5 και 6 αυτού)</w:t>
      </w:r>
    </w:p>
    <w:p>
      <w:pPr>
        <w:spacing w:before="240" w:after="240"/>
        <w:rPr>
          <w:lang w:val="el" w:eastAsia="el"/>
        </w:rPr>
      </w:pPr>
      <w:r>
        <w:rPr>
          <w:lang w:val="el" w:eastAsia="el"/>
        </w:rPr>
        <w:t>» » Η΄ (εκτός των αριθμ. 4, 10 και 11 αυτού)</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Προϊσταμένης Γενικής Διεύθυνσης Ηλ. Διακυβέρνησης</w:t>
      </w:r>
    </w:p>
    <w:p>
      <w:pPr>
        <w:spacing w:before="240" w:after="240"/>
        <w:rPr>
          <w:lang w:val="el" w:eastAsia="el"/>
        </w:rPr>
      </w:pPr>
      <w:r>
        <w:rPr>
          <w:lang w:val="el" w:eastAsia="el"/>
        </w:rPr>
        <w:t>4. Διεύθυνση Εφαρμογής Έμμεσης Φορολογίας – Τμήμα Α΄</w:t>
      </w:r>
    </w:p>
    <w:p>
      <w:pPr>
        <w:spacing w:before="240" w:after="240"/>
        <w:rPr>
          <w:lang w:val="el" w:eastAsia="el"/>
        </w:rPr>
      </w:pPr>
      <w:r>
        <w:rPr>
          <w:lang w:val="el" w:eastAsia="el"/>
        </w:rPr>
        <w:t>5. Διεύθυνση Εφαρμογής Άμεσης Φορολογίας – Τμήματα Α΄, Β΄</w:t>
      </w:r>
    </w:p>
    <w:p>
      <w:pPr>
        <w:spacing w:before="240" w:after="240"/>
        <w:rPr>
          <w:lang w:val="el" w:eastAsia="el"/>
        </w:rPr>
      </w:pPr>
      <w:r>
        <w:rPr>
          <w:lang w:val="el" w:eastAsia="el"/>
        </w:rPr>
        <w:t>6. Διεύθυνση Εφαρμογής Φορολογίας Κεφαλαίου &amp; Περιουσιολογίου – Τμήματα Α΄, Β΄</w:t>
      </w:r>
    </w:p>
    <w:p>
      <w:pPr>
        <w:spacing w:before="240" w:after="240"/>
        <w:rPr>
          <w:lang w:val="el" w:eastAsia="el"/>
        </w:rPr>
      </w:pPr>
      <w:r>
        <w:rPr>
          <w:lang w:val="el" w:eastAsia="el"/>
        </w:rPr>
        <w:t>7. Διεύθυνση Υπηρεσιών Δεδομένων</w:t>
      </w:r>
    </w:p>
    <w:p>
      <w:pPr>
        <w:spacing w:before="240" w:after="240"/>
        <w:rPr>
          <w:lang w:val="el" w:eastAsia="el"/>
        </w:rPr>
      </w:pPr>
      <w:r>
        <w:rPr>
          <w:lang w:val="el" w:eastAsia="el"/>
        </w:rPr>
        <w:t>8. Διεύθυνση Επιχειρησιακών Διαδικασιών</w:t>
      </w:r>
    </w:p>
    <w:p>
      <w:pPr>
        <w:spacing w:before="240" w:after="240"/>
        <w:rPr>
          <w:lang w:val="el" w:eastAsia="el"/>
        </w:rPr>
      </w:pPr>
      <w:r>
        <w:rPr>
          <w:lang w:val="el" w:eastAsia="el"/>
        </w:rPr>
        <w:t>9. Διεύθυνση Ανάπτυξης Φορολογικών Εφαρμογών</w:t>
      </w:r>
    </w:p>
    <w:p>
      <w:pPr>
        <w:spacing w:before="240" w:after="240"/>
        <w:rPr>
          <w:lang w:val="el" w:eastAsia="el"/>
        </w:rPr>
      </w:pPr>
      <w:r>
        <w:rPr>
          <w:lang w:val="el" w:eastAsia="el"/>
        </w:rPr>
        <w:t>10. Δ/νση Ελέγχων – Όλα τα τμήματα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