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w:t>
      </w:r>
    </w:p>
    <w:p>
      <w:pPr>
        <w:pStyle w:val="Title"/>
        <w:spacing w:before="120" w:after="360"/>
        <w:rPr>
          <w:lang w:val="el" w:eastAsia="el"/>
        </w:rPr>
      </w:pPr>
      <w:r>
        <w:rPr>
          <w:b/>
          <w:bCs/>
          <w:lang w:val="el" w:eastAsia="el"/>
        </w:rPr>
        <w:t>ΑΔΑ: 6Ο2946Μ</w:t>
      </w:r>
    </w:p>
    <w:p>
      <w:pPr>
        <w:pStyle w:val="Title"/>
        <w:spacing w:before="120" w:after="360"/>
        <w:rPr>
          <w:lang w:val="el" w:eastAsia="el"/>
        </w:rPr>
      </w:pPr>
      <w:r>
        <w:rPr>
          <w:b/>
          <w:bCs/>
          <w:lang w:val="el" w:eastAsia="el"/>
        </w:rPr>
        <w:t>ΦΕΚ:Β’ 900/28.</w:t>
      </w:r>
    </w:p>
    <w:p>
      <w:pPr>
        <w:spacing w:before="240" w:after="240"/>
        <w:rPr>
          <w:lang w:val="el" w:eastAsia="el"/>
        </w:rPr>
      </w:pPr>
      <w:r>
        <w:rPr>
          <w:b/>
          <w:bCs/>
          <w:lang w:val="el" w:eastAsia="el"/>
        </w:rPr>
        <w:t>ΔΙΕΥΘΥΝΣΗ ΕΠΙΧΕΙΡΗΣΙΑΚΩΝ ΔΙΑΔΙΚΑΣΙΩΝ-ΤΜΗΜΑ Α’</w:t>
      </w:r>
    </w:p>
    <w:p>
      <w:pPr>
        <w:spacing w:before="240" w:after="240"/>
        <w:rPr>
          <w:lang w:val="el" w:eastAsia="el"/>
        </w:rPr>
      </w:pPr>
      <w:r>
        <w:rPr>
          <w:b/>
          <w:bCs/>
          <w:lang w:val="el" w:eastAsia="el"/>
        </w:rPr>
        <w:t>ΔΙΕΥΘΥΝΣΗ ΥΠΗΡΕΣΙΩΝ ΔΕΔΟΜΕΝΩΝ</w:t>
      </w:r>
    </w:p>
    <w:p>
      <w:pPr>
        <w:spacing w:before="240" w:after="240"/>
        <w:rPr>
          <w:lang w:val="el" w:eastAsia="el"/>
        </w:rPr>
      </w:pPr>
      <w:r>
        <w:rPr>
          <w:b/>
          <w:bCs/>
          <w:lang w:val="el" w:eastAsia="el"/>
        </w:rPr>
        <w:t>Θέμα: « Παράταση της προθεσμίας υποβολής στοιχείων και πληροφοριών της περ. 1.1.ε του άρθρου 1 και του άρθρου 4 της υπό στοιχεία ΠΟΛ 1033/2014 (Β’ 276) απόφασης του Γενικού Γραμματέα Δημοσίων Εσόδων, τα οποία διαβιβάζονται στην Α.Α.Δ.Ε. από πιστωτικά και χρηματοδοτικά ιδρύματα και ιδιωτικά εκπαιδευτήρια, σύμφωνα με το άρθρο 15 του ν.4174/2013 (ΦΕΚ 170 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Τις διατάξεις: α) του άρθρου 15 του ν. 4174/13 «Φορολογικές Διαδικασίες και άλλες διατάξεις» (Α΄170). β) του Κεφ.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 αρ. 39/3/30-11-2017 αποφάσεις (Υ.Ο.Δ.Δ. 689) του Συμβουλίου Διοίκησης της ΑΑΔΕ και υπό στοιχεία 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Την υπό στοιχεία ΠΟΛ. 1033/2014 απόφαση Γενικού Γραμματέα Δημοσίων Εσόδων, «Υποχρεώσεις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(Α’ 170) (Β’ 276).</w:t>
      </w:r>
    </w:p>
    <w:p>
      <w:pPr>
        <w:spacing w:before="240" w:after="240"/>
        <w:rPr>
          <w:lang w:val="el" w:eastAsia="el"/>
        </w:rPr>
      </w:pPr>
      <w:r>
        <w:rPr>
          <w:lang w:val="el" w:eastAsia="el"/>
        </w:rPr>
        <w:t xml:space="preserve">4. </w:t>
      </w:r>
      <w:r>
        <w:rPr>
          <w:b/>
          <w:bCs/>
          <w:lang w:val="el" w:eastAsia="el"/>
        </w:rPr>
        <w:t>Την υπό στοιχεία Α.1271/2021 (Β΄6476) απόφαση του Διοικητή της Α.Α.Δ.Ε. με την οποία τροποποιήθηκε η ΠΟΛ. 1033/2014 (Β΄276) απόφαση Γενικού Γραμματέα Δημοσίων Εσόδων.</w:t>
      </w:r>
    </w:p>
    <w:p>
      <w:pPr>
        <w:spacing w:before="240" w:after="240"/>
        <w:rPr>
          <w:lang w:val="el" w:eastAsia="el"/>
        </w:rPr>
      </w:pPr>
      <w:r>
        <w:rPr>
          <w:lang w:val="el" w:eastAsia="el"/>
        </w:rPr>
        <w:t xml:space="preserve">5. </w:t>
      </w:r>
      <w:r>
        <w:rPr>
          <w:b/>
          <w:bCs/>
          <w:lang w:val="el" w:eastAsia="el"/>
        </w:rPr>
        <w:t>Την ανάγκη παράτασης των προθεσμιών υποβολής στοιχείων και πληροφοριών βάσει της υπό στοιχεία ΠΟΛ. 1033/28-1-2014 (Β’ 276) απόφασης του Γενικού Γραμματέα Δημοσίων Εσόδων που αφορούν σε α) χρηματικά ποσά που πραγματικά καταβάλλονται για τοκοχρεωλυτική απόσβεση δανείων, περιλαμβανομένων και των δεδουλευμένων και καταβλημένων τόκων, καθώς και των τυχόν τόκων υπερημερίας και β) καταβληθέντα δίδακτρα και πληρωμές για πρόσθετες παροχές (μεταφορά μαθητών, διατροφή κλπ) προς ιδιωτικά σχολεία στοιχειώδους και μέσης εκπαίδευσης (νηπιαγωγεία, δημοτικά, γυμνάσια και λύκεια).</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Παρατείνεται η προθεσμία υποβολής στοιχείων και πληροφοριών της περ. 1.1.ε του άρθρου 1 και του άρθρου 4 της υπό στοιχεία ΠΟΛ. 1033/2014 (Β’ 276) απόφασης του Γενικού Γραμματέα Δημοσίων Εσόδων έως και την 4η Μαρτίου 2022.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ΔΙΟΙΚΗΤΗΣ ΤΗΣ ΑΑΔΕ ΓΕΩΡΓΙΟΣ ΠΙΤΣΙΛΗΣ </w:t>
      </w:r>
      <w:r>
        <w:rPr>
          <w:b/>
          <w:bCs/>
          <w:u w:val="single"/>
          <w:lang w:val="el" w:eastAsia="el"/>
        </w:rPr>
        <w:t>ΠΙΝΑΚΑΣ ΔΙΑΝΟΜΗΣ Ι. ΑΠΟΔΕΚΤΕΣ ΓΙΑ ΕΝΕΡΓΕΙΑ</w:t>
      </w:r>
    </w:p>
    <w:p>
      <w:pPr>
        <w:spacing w:before="240" w:after="240"/>
        <w:rPr>
          <w:lang w:val="el" w:eastAsia="el"/>
        </w:rPr>
      </w:pPr>
      <w:r>
        <w:rPr>
          <w:lang w:val="el" w:eastAsia="el"/>
        </w:rPr>
        <w:t xml:space="preserve">1. </w:t>
      </w:r>
      <w:r>
        <w:rPr>
          <w:b/>
          <w:bCs/>
          <w:lang w:val="el" w:eastAsia="el"/>
        </w:rPr>
        <w:t>Αποδέκτες πινάκων ΙΒ’, ΙΓ’, ΙΣΤ’, ΙΖ’, ΙΗ’, ΙΘ’</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4. </w:t>
      </w:r>
      <w:r>
        <w:rPr>
          <w:b/>
          <w:bCs/>
          <w:lang w:val="el" w:eastAsia="el"/>
        </w:rPr>
        <w:t>Διεύθυνση Επιχειρησιακών Διαδικασιών</w:t>
      </w:r>
    </w:p>
    <w:p>
      <w:pPr>
        <w:spacing w:before="240" w:after="240"/>
        <w:rPr>
          <w:lang w:val="el" w:eastAsia="el"/>
        </w:rPr>
      </w:pPr>
      <w:r>
        <w:rPr>
          <w:lang w:val="el" w:eastAsia="el"/>
        </w:rPr>
        <w:t xml:space="preserve">5. </w:t>
      </w:r>
      <w:r>
        <w:rPr>
          <w:b/>
          <w:bCs/>
          <w:lang w:val="el" w:eastAsia="el"/>
        </w:rPr>
        <w:t>Διεύθυνση Ανάπτυξης Φορολογικών Εφαρμογών</w:t>
      </w:r>
    </w:p>
    <w:p>
      <w:pPr>
        <w:spacing w:before="240" w:after="240"/>
        <w:rPr>
          <w:lang w:val="el" w:eastAsia="el"/>
        </w:rPr>
      </w:pPr>
      <w:r>
        <w:rPr>
          <w:lang w:val="el" w:eastAsia="el"/>
        </w:rPr>
        <w:t xml:space="preserve">6. </w:t>
      </w:r>
      <w:r>
        <w:rPr>
          <w:b/>
          <w:bCs/>
          <w:lang w:val="el" w:eastAsia="el"/>
        </w:rPr>
        <w:t>Διεύθυνση Υπηρεσιών Δεδομένων</w:t>
      </w:r>
    </w:p>
    <w:p>
      <w:pPr>
        <w:spacing w:before="240" w:after="240"/>
        <w:rPr>
          <w:lang w:val="el" w:eastAsia="el"/>
        </w:rPr>
      </w:pPr>
      <w:r>
        <w:rPr>
          <w:lang w:val="el" w:eastAsia="el"/>
        </w:rPr>
        <w:t xml:space="preserve">7.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 Υφυπουργού</w:t>
      </w:r>
    </w:p>
    <w:p>
      <w:pPr>
        <w:spacing w:before="240" w:after="240"/>
        <w:rPr>
          <w:lang w:val="el" w:eastAsia="el"/>
        </w:rPr>
      </w:pPr>
      <w:r>
        <w:rPr>
          <w:lang w:val="el" w:eastAsia="el"/>
        </w:rPr>
        <w:t xml:space="preserve">3. </w:t>
      </w:r>
      <w:r>
        <w:rPr>
          <w:b/>
          <w:bCs/>
          <w:lang w:val="el" w:eastAsia="el"/>
        </w:rPr>
        <w:t>Γραφείο Γεν.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Κεντρική Υπηρεσία ΣΔΟΕ και τις Περιφερειακές Διευθύνσεις της</w:t>
      </w:r>
    </w:p>
    <w:p>
      <w:pPr>
        <w:spacing w:before="240" w:after="240"/>
        <w:rPr>
          <w:lang w:val="el" w:eastAsia="el"/>
        </w:rPr>
      </w:pPr>
      <w:r>
        <w:rPr>
          <w:lang w:val="el" w:eastAsia="el"/>
        </w:rPr>
        <w:t xml:space="preserve">5. </w:t>
      </w:r>
      <w:r>
        <w:rPr>
          <w:b/>
          <w:bCs/>
          <w:lang w:val="el" w:eastAsia="el"/>
        </w:rPr>
        <w:t>Αποδέκτες πινάκων Α’-ΙΑ’, ΙΔ’, ΙΕ’</w:t>
      </w:r>
    </w:p>
    <w:p>
      <w:pPr>
        <w:spacing w:before="240" w:after="240"/>
        <w:rPr>
          <w:lang w:val="el" w:eastAsia="el"/>
        </w:rPr>
      </w:pPr>
      <w:r>
        <w:rPr>
          <w:lang w:val="el" w:eastAsia="el"/>
        </w:rPr>
        <w:t xml:space="preserve">6. </w:t>
      </w:r>
      <w:r>
        <w:rPr>
          <w:b/>
          <w:bCs/>
          <w:lang w:val="el" w:eastAsia="el"/>
        </w:rPr>
        <w:t xml:space="preserve">Ελληνική Ένωση Τραπεζών </w:t>
      </w:r>
      <w:hyperlink r:id="rId4" w:history="1">
        <w:r>
          <w:rPr>
            <w:rStyle w:val="Hyperlink"/>
            <w:b/>
            <w:bCs/>
            <w:color w:val="0000EE"/>
            <w:u w:color="0000EE"/>
            <w:lang w:val="el" w:eastAsia="el"/>
          </w:rPr>
          <w:t>(</w:t>
        </w:r>
        <w:r>
          <w:rPr>
            <w:rStyle w:val="Hyperlink"/>
            <w:b/>
            <w:bCs/>
            <w:color w:val="0000EE"/>
            <w:u w:color="0000EE"/>
            <w:lang w:val="el" w:eastAsia="el"/>
          </w:rPr>
          <w:t>hba@hba.gr</w:t>
        </w:r>
      </w:hyperlink>
      <w:r>
        <w:rPr>
          <w:b/>
          <w:bCs/>
          <w:lang w:val="el" w:eastAsia="el"/>
        </w:rPr>
        <w:t>)</w:t>
      </w:r>
    </w:p>
    <w:p>
      <w:pPr>
        <w:spacing w:before="240" w:after="240"/>
        <w:rPr>
          <w:lang w:val="el" w:eastAsia="el"/>
        </w:rPr>
      </w:pPr>
      <w:r>
        <w:rPr>
          <w:lang w:val="el" w:eastAsia="el"/>
        </w:rPr>
        <w:t xml:space="preserve">7. </w:t>
      </w:r>
      <w:r>
        <w:rPr>
          <w:b/>
          <w:bCs/>
          <w:lang w:val="el" w:eastAsia="el"/>
        </w:rPr>
        <w:t xml:space="preserve">Ελληνικό Κεντρικό Αποθετήριο Τίτλων </w:t>
      </w:r>
      <w:hyperlink r:id="rId5" w:history="1">
        <w:r>
          <w:rPr>
            <w:rStyle w:val="Hyperlink"/>
            <w:b/>
            <w:bCs/>
            <w:color w:val="0000EE"/>
            <w:u w:color="0000EE"/>
            <w:lang w:val="el" w:eastAsia="el"/>
          </w:rPr>
          <w:t>(</w:t>
        </w:r>
        <w:r>
          <w:rPr>
            <w:rStyle w:val="Hyperlink"/>
            <w:b/>
            <w:bCs/>
            <w:color w:val="0000EE"/>
            <w:u w:color="0000EE"/>
            <w:lang w:val="el" w:eastAsia="el"/>
          </w:rPr>
          <w:t>protocol@athexgroup.gr</w:t>
        </w:r>
      </w:hyperlink>
      <w:r>
        <w:rPr>
          <w:b/>
          <w:bCs/>
          <w:lang w:val="el" w:eastAsia="el"/>
        </w:rPr>
        <w:t>)</w:t>
      </w:r>
    </w:p>
    <w:p>
      <w:pPr>
        <w:spacing w:before="240" w:after="240"/>
        <w:rPr>
          <w:lang w:val="el" w:eastAsia="el"/>
        </w:rPr>
      </w:pPr>
      <w:r>
        <w:rPr>
          <w:lang w:val="el" w:eastAsia="el"/>
        </w:rPr>
        <w:t xml:space="preserve">8. </w:t>
      </w:r>
      <w:r>
        <w:rPr>
          <w:b/>
          <w:bCs/>
          <w:lang w:val="el" w:eastAsia="el"/>
        </w:rPr>
        <w:t>Πανελλήνια Ένωση Ιδιωτικής Επαγγελματικής Εκπαίδευσης και Κατάρτισης, Μπουμπουλίνας</w:t>
      </w:r>
    </w:p>
    <w:p>
      <w:pPr>
        <w:spacing w:before="240" w:after="240"/>
        <w:rPr>
          <w:lang w:val="el" w:eastAsia="el"/>
        </w:rPr>
      </w:pPr>
      <w:r>
        <w:rPr>
          <w:lang w:val="el" w:eastAsia="el"/>
        </w:rPr>
        <w:t xml:space="preserve">18, </w:t>
      </w:r>
      <w:r>
        <w:rPr>
          <w:b/>
          <w:bCs/>
          <w:lang w:val="el" w:eastAsia="el"/>
        </w:rPr>
        <w:t>Τ.Κ. 10682 ΑΘΗΝΑ</w:t>
      </w:r>
    </w:p>
    <w:p>
      <w:pPr>
        <w:spacing w:before="240" w:after="240"/>
        <w:rPr>
          <w:lang w:val="el" w:eastAsia="el"/>
        </w:rPr>
      </w:pPr>
      <w:r>
        <w:rPr>
          <w:lang w:val="el" w:eastAsia="el"/>
        </w:rPr>
        <w:t xml:space="preserve">9. </w:t>
      </w:r>
      <w:r>
        <w:rPr>
          <w:b/>
          <w:bCs/>
          <w:lang w:val="el" w:eastAsia="el"/>
        </w:rPr>
        <w:t>Σύνδεσμος Ιδρυτών Ελληνικών Εκπαιδευτηρίων, 3ης Σεπτεμβρίου 75, 10434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Γενική Διεύθυνση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ba@hba.gr" TargetMode="External" /><Relationship Id="rId5" Type="http://schemas.openxmlformats.org/officeDocument/2006/relationships/hyperlink" Target="mailto:protocol@athexgroup.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