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Β.ΓΕΝΙΚΗ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b/>
          <w:bCs/>
          <w:lang w:val="el" w:eastAsia="el"/>
        </w:rPr>
        <w:t>ΘΕΜΑ: «Παράταση προθεσμίας καταβολής δόσεων ρυθμίσεων/διευκολύνσεων τμηματικής καταβολής βεβαιωμένων οφειλών των Κοινοτήτων Ίσαρη, Χράνων Νεοχωρίου – Λυκοσούρας της Δημοτικής Ενότητας Μεγαλόπολης του Δήμου Μεγαλόπολης, της Περιφερειακής Ενότητας Αρκαδίας, της Περιφέρειας Πελοποννήσου για την αντιμετώπιση των έκτακτων αναγκών που προέκυψαν λόγω πυρκαγιάς που εκδηλώθηκε στις περιοχές στις 03-08-2021»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 της παρ.2 του άρθρου 8 του ν. 1284/1982 (Α΄ 114), με τις οποίες εξουσιοδοτείται ο Υπουργός Οικονομικών να παρατείνει, με αποφάσεις του που δημοσιεύονται στην Εφημερίδα της Κυβερνήσεως,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lang w:val="el" w:eastAsia="el"/>
        </w:rPr>
        <w:t xml:space="preserve">2. </w:t>
      </w:r>
      <w:r>
        <w:rPr>
          <w:b/>
          <w:bCs/>
          <w:lang w:val="el" w:eastAsia="el"/>
        </w:rPr>
        <w:t>Την υπό στοιχεία Α. 1202/19-8-2021 απόφαση Υφυπουργού Οικονομικών (Β΄ 3872). 3. Τις διατάξεις του Κώδικα Εισπράξεως Δημοσίων Εσόδων ( ν.δ. 356/1974, Α΄90).</w:t>
      </w:r>
    </w:p>
    <w:p>
      <w:pPr>
        <w:spacing w:before="240" w:after="240"/>
        <w:rPr>
          <w:lang w:val="el" w:eastAsia="el"/>
        </w:rPr>
      </w:pPr>
      <w:r>
        <w:rPr>
          <w:lang w:val="el" w:eastAsia="el"/>
        </w:rPr>
        <w:t xml:space="preserve">4. </w:t>
      </w:r>
      <w:r>
        <w:rPr>
          <w:b/>
          <w:bCs/>
          <w:lang w:val="el" w:eastAsia="el"/>
        </w:rPr>
        <w:t>Τις διατάξεις του Κώδικα Φορολογικής Διαδικασίας (ν. 4174/2013,Α΄170).</w:t>
      </w:r>
    </w:p>
    <w:p>
      <w:pPr>
        <w:spacing w:before="240" w:after="240"/>
        <w:rPr>
          <w:lang w:val="el" w:eastAsia="el"/>
        </w:rPr>
      </w:pPr>
      <w:r>
        <w:rPr>
          <w:lang w:val="el" w:eastAsia="el"/>
        </w:rPr>
        <w:t xml:space="preserve">5. </w:t>
      </w:r>
      <w:r>
        <w:rPr>
          <w:b/>
          <w:bCs/>
          <w:lang w:val="el" w:eastAsia="el"/>
        </w:rPr>
        <w:t>Το π.δ. 142/2017 «Οργανισμός Υπουργείου Οικονομικών» (Α΄ 181).</w:t>
      </w:r>
    </w:p>
    <w:p>
      <w:pPr>
        <w:spacing w:before="240" w:after="240"/>
        <w:rPr>
          <w:lang w:val="el" w:eastAsia="el"/>
        </w:rPr>
      </w:pPr>
      <w:r>
        <w:rPr>
          <w:lang w:val="el" w:eastAsia="el"/>
        </w:rPr>
        <w:t xml:space="preserve">6.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7. </w:t>
      </w:r>
      <w:r>
        <w:rPr>
          <w:b/>
          <w:bCs/>
          <w:lang w:val="el" w:eastAsia="el"/>
        </w:rPr>
        <w:t>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 xml:space="preserve">8. </w:t>
      </w:r>
      <w:r>
        <w:rPr>
          <w:b/>
          <w:bCs/>
          <w:lang w:val="el" w:eastAsia="el"/>
        </w:rPr>
        <w:t>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9. </w:t>
      </w:r>
      <w:r>
        <w:rPr>
          <w:b/>
          <w:bCs/>
          <w:lang w:val="el" w:eastAsia="el"/>
        </w:rPr>
        <w:t>Την υπ’ αρ. 339/18-07-2019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10. </w:t>
      </w:r>
      <w:r>
        <w:rPr>
          <w:b/>
          <w:bCs/>
          <w:lang w:val="el" w:eastAsia="el"/>
        </w:rPr>
        <w:t>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lang w:val="el" w:eastAsia="el"/>
        </w:rPr>
        <w:t xml:space="preserve">11. </w:t>
      </w:r>
      <w:r>
        <w:rPr>
          <w:b/>
          <w:bCs/>
          <w:lang w:val="el" w:eastAsia="el"/>
        </w:rPr>
        <w:t>Το γεγονός ότι η εν λόγω πυρκαγιά είχε ως αποτέλεσμα να απορρυθμιστεί η κοινωνική και οικονομική ζωή στις προαναφερθείσες περιοχές.</w:t>
      </w:r>
    </w:p>
    <w:p>
      <w:pPr>
        <w:spacing w:before="240" w:after="240"/>
        <w:rPr>
          <w:lang w:val="el" w:eastAsia="el"/>
        </w:rPr>
      </w:pPr>
      <w:r>
        <w:rPr>
          <w:lang w:val="el" w:eastAsia="el"/>
        </w:rPr>
        <w:t xml:space="preserve">12.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w:t>
      </w:r>
      <w:r>
        <w:rPr>
          <w:b/>
          <w:bCs/>
          <w:lang w:val="el" w:eastAsia="el"/>
        </w:rPr>
        <w:t>Οι δόσεις ρυθμίσεων/διευκολύνσεων τμηματικής καταβολής, οι οποίες έχουν παραταθεί με την υπό στοιχεία Α 1202/19-8-2021 (Β’ 3872) απόφαση Υφυπουργού Οικονομικών έως τις 03/02/2022, καταβάλλονται μετά το πέρας του προγράμματος ρύθμισης. Η πρώτη δόση της ρύθμισης από εκείνες τις δόσεις για τις οποίες χορηγήθηκε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p>
    <w:p>
      <w:pPr>
        <w:spacing w:before="240" w:after="240"/>
        <w:rPr>
          <w:lang w:val="el" w:eastAsia="el"/>
        </w:rPr>
      </w:pPr>
      <w:r>
        <w:rPr>
          <w:lang w:val="el" w:eastAsia="el"/>
        </w:rPr>
        <w:t xml:space="preserve">2. </w:t>
      </w:r>
      <w:r>
        <w:rPr>
          <w:b/>
          <w:bCs/>
          <w:lang w:val="el" w:eastAsia="el"/>
        </w:rPr>
        <w:t>Η απόφαση αυτή ισχύει από τις 03/02/2022.</w:t>
      </w:r>
    </w:p>
    <w:p>
      <w:pPr>
        <w:spacing w:before="240" w:after="240"/>
        <w:rPr>
          <w:lang w:val="el" w:eastAsia="el"/>
        </w:rPr>
      </w:pPr>
      <w:r>
        <w:rPr>
          <w:lang w:val="el" w:eastAsia="el"/>
        </w:rPr>
        <w:t xml:space="preserve">3.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 xml:space="preserve">1. </w:t>
      </w:r>
      <w:r>
        <w:rPr>
          <w:b/>
          <w:bCs/>
          <w:lang w:val="el" w:eastAsia="el"/>
        </w:rPr>
        <w:t>Αποδέκτες πίνακα Γ &amp; Δ</w:t>
      </w:r>
    </w:p>
    <w:p>
      <w:pPr>
        <w:spacing w:before="240" w:after="240"/>
        <w:rPr>
          <w:lang w:val="el" w:eastAsia="el"/>
        </w:rPr>
      </w:pPr>
      <w:r>
        <w:rPr>
          <w:lang w:val="el" w:eastAsia="el"/>
        </w:rPr>
        <w:t xml:space="preserve">2. </w:t>
      </w:r>
      <w:r>
        <w:rPr>
          <w:b/>
          <w:bCs/>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 ΑΑΔΕ</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Α, Β, Ε, ΣΤ, Ζ, Η, Θ (εκτός Εθνικού Τυπογραφείου), Ι, ΙΒ, ΙΔ, ΙΕ, ΙΣΤ</w:t>
      </w:r>
    </w:p>
    <w:p>
      <w:pPr>
        <w:spacing w:before="240" w:after="240"/>
        <w:rPr>
          <w:lang w:val="el" w:eastAsia="el"/>
        </w:rPr>
      </w:pPr>
      <w:r>
        <w:rPr>
          <w:lang w:val="el" w:eastAsia="el"/>
        </w:rPr>
        <w:t xml:space="preserve">5) </w:t>
      </w:r>
      <w:r>
        <w:rPr>
          <w:b/>
          <w:bCs/>
          <w:lang w:val="el" w:eastAsia="el"/>
        </w:rPr>
        <w:t>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κ.κ. Γεν. Διευθυντών</w:t>
      </w:r>
    </w:p>
    <w:p>
      <w:pPr>
        <w:spacing w:before="240" w:after="240"/>
        <w:rPr>
          <w:lang w:val="el" w:eastAsia="el"/>
        </w:rPr>
      </w:pPr>
      <w:r>
        <w:rPr>
          <w:lang w:val="el" w:eastAsia="el"/>
        </w:rPr>
        <w:t xml:space="preserve">3) </w:t>
      </w:r>
      <w:r>
        <w:rPr>
          <w:b/>
          <w:bCs/>
          <w:lang w:val="el" w:eastAsia="el"/>
        </w:rPr>
        <w:t>Δ/νση Εισπράξεων- Τμήματα Α, Β, Γ, Δ, Ε, Γραμματεία</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