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43326 ΕΞ 2022</w:t>
      </w:r>
    </w:p>
    <w:p>
      <w:pPr>
        <w:spacing w:before="240" w:after="240"/>
        <w:rPr>
          <w:lang w:val="el" w:eastAsia="el"/>
        </w:rPr>
      </w:pPr>
      <w:r>
        <w:rPr>
          <w:b/>
          <w:bCs/>
          <w:lang w:val="el" w:eastAsia="el"/>
        </w:rPr>
        <w:t>Τροποποίηση της υπό στοιχεία 148348 ΕΞ 2020/ 28.12.2020 κοινής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 2020 (Α’148) » (Β’5825).</w:t>
      </w:r>
    </w:p>
    <w:p>
      <w:pPr>
        <w:spacing w:before="240" w:after="240"/>
        <w:rPr>
          <w:lang w:val="el" w:eastAsia="el"/>
        </w:rPr>
      </w:pPr>
      <w:r>
        <w:rPr>
          <w:b/>
          <w:bCs/>
          <w:lang w:val="el" w:eastAsia="el"/>
        </w:rPr>
        <w:t>Ο ΥΠΟΥΡΓΟΣ ΚΑΙ</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Διορθώσεις Σφαλμάτων),</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3. Την υπό στοιχεία 127519 ΕΞ 2020/06.11.2020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2021/09.06.2021 (Β’ 2666, ΑΔΑ: Ω01ΧΗ-ΩΩΛ) και 134649 ΕΞ 2021/27.10.2021 (Β’ 5023, ΑΔΑ: ΨΤΣ2Η-Ρ7Α), όμοιες.</w:t>
      </w:r>
    </w:p>
    <w:p>
      <w:pPr>
        <w:spacing w:before="240" w:after="240"/>
        <w:rPr>
          <w:lang w:val="el" w:eastAsia="el"/>
        </w:rPr>
      </w:pPr>
      <w:r>
        <w:rPr>
          <w:lang w:val="el" w:eastAsia="el"/>
        </w:rPr>
        <w:t>4. α)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τις υπό στοιχεία 37414 ΕΞ 2021/29.03.2021 (Β’ 1227, ΑΔΑ: ΨΒΣ6Η-ΑΔ3) και 134647 ΕΞ 2021/27.10.2021 (Β’ 5023, ΑΔΑ: ΨΕΗΖΗ-ΑΚΗ), όμοιες.</w:t>
      </w:r>
    </w:p>
    <w:p>
      <w:pPr>
        <w:pStyle w:val="StructureList1"/>
        <w:spacing w:before="120" w:after="0"/>
        <w:rPr>
          <w:lang w:val="el" w:eastAsia="el"/>
        </w:rPr>
      </w:pPr>
      <w:r>
        <w:rPr>
          <w:lang w:val="el" w:eastAsia="el"/>
        </w:rPr>
        <w:t>β)</w:t>
      </w:r>
      <w:r>
        <w:rPr>
          <w:lang w:val="en" w:eastAsia="en"/>
        </w:rPr>
        <w:tab/>
      </w:r>
      <w:r>
        <w:rPr>
          <w:lang w:val="el" w:eastAsia="el"/>
        </w:rPr>
        <w:t>Την υπό στοιχεία 43324 ΕΞ 2021/31.03.2022 εισήγηση του αναπληρωτή Προϊσταμένου της Γενικής Διεύθυνσης Οικονομικών Υπηρεσιών του Υπουργείου Οικονομικών.</w:t>
      </w:r>
    </w:p>
    <w:p>
      <w:pPr>
        <w:spacing w:before="240" w:after="240"/>
        <w:rPr>
          <w:lang w:val="el" w:eastAsia="el"/>
        </w:rPr>
      </w:pPr>
      <w:r>
        <w:rPr>
          <w:lang w:val="el" w:eastAsia="el"/>
        </w:rPr>
        <w:t>5. Το υπό στοιχεία 35533 ΕΞ 2022 ΕΜΠ/16.03.2022 αίτημα του Γενικού Προϊστάμενου της Επιτροπής Εξώδικης Επίλυσης Φορολογικών Διαφορών περί παράτασης των προβλεπόμενων στην παρ. 6 του άρθρου 16 του ν. 4714/2020 προθεσμιών, όπως έχουν παραταθεί και ισχύουν, το οποίο διαβιβάσθηκε στην υπηρεσία με το από 21.03.2022 μήνυμα ηλεκτρονικού ταχυδρομείου της Διεύθυνσης Φορολογικής Πολιτικής του Υπουργείου Οικονομικών.</w:t>
      </w:r>
    </w:p>
    <w:p>
      <w:pPr>
        <w:spacing w:before="240" w:after="240"/>
        <w:rPr>
          <w:lang w:val="el" w:eastAsia="el"/>
        </w:rPr>
      </w:pPr>
      <w:r>
        <w:rPr>
          <w:lang w:val="el" w:eastAsia="el"/>
        </w:rPr>
        <w:t>6. Το γεγονός ότι από την παράταση των ανωτέρω προθεσμιών προκαλείται επιβάρυνση στον προϋπολογισμό του Υπουργείου Οικονομικών (ΕΦ 1023-207-0000000 και ΑΛΕ 2120208003), εκτιμώμενου ύψους 341.500,00 ευρώ για το τρέχον οικονομικό έτος, λόγω της αποζημίωσης του Γενικού Προϊστάμενου, των μελών και των εισηγητών της Επιτροπής (συνολικά 26 άτομα) για έξι επιπλέον μήνες, η οποία καλύπτεται από τις εγγεγραμμένες πιστώσεις του τρέχοντος οικονομικού έτους, αποφασίζουμε:</w:t>
      </w:r>
    </w:p>
    <w:p>
      <w:pPr>
        <w:spacing w:before="240" w:after="240"/>
        <w:rPr>
          <w:lang w:val="el" w:eastAsia="el"/>
        </w:rPr>
      </w:pPr>
      <w:r>
        <w:rPr>
          <w:lang w:val="el" w:eastAsia="el"/>
        </w:rPr>
        <w:t>Τροποποιούμε την υπό στοιχεία 148348 ΕΞ 2020/ 28.12.2020 (Β’ 5825) κοινή απόφαση του Υπουργού Οικονομικών και του Αναπληρωτή Υπουργού Οικονομικών, ως εξής:</w:t>
      </w:r>
    </w:p>
    <w:p>
      <w:pPr>
        <w:spacing w:before="240" w:after="240"/>
        <w:rPr>
          <w:lang w:val="el" w:eastAsia="el"/>
        </w:rPr>
      </w:pPr>
      <w:r>
        <w:rPr>
          <w:lang w:val="el" w:eastAsia="el"/>
        </w:rPr>
        <w:t>Παρατείνουμε εκ νέου τις προθεσμίες της παρ. 6 του άρθρου 16 του ν. 4714/2020, όπως έχουν παραταθεί με τις υπό στοιχείο 4α) του προοιμίου αποφάσεις, ως εξής:</w:t>
      </w:r>
    </w:p>
    <w:p>
      <w:pPr>
        <w:pStyle w:val="StructureList1"/>
        <w:spacing w:before="120" w:after="0"/>
        <w:rPr>
          <w:lang w:val="el" w:eastAsia="el"/>
        </w:rPr>
      </w:pPr>
      <w:r>
        <w:rPr>
          <w:lang w:val="el" w:eastAsia="el"/>
        </w:rPr>
        <w:t>α)</w:t>
      </w:r>
      <w:r>
        <w:rPr>
          <w:lang w:val="en" w:eastAsia="en"/>
        </w:rPr>
        <w:tab/>
      </w:r>
      <w:r>
        <w:rPr>
          <w:lang w:val="el" w:eastAsia="el"/>
        </w:rPr>
        <w:t>Την προθεσμία ολοκλήρωσης της εξέτασης των αιτήσεων εξώδικης επίλυσης από τις 31 Μαρτίου 2022, έως και τις 30 Σεπτεμβρίου 2022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έκδοσης των πρακτικών εξώδικης επίλυσης από τις 31 Μαΐου 2022 έως και τις 30 Νοεμβρίου 2022, ημερομηνία κατά την οποία λήγει η θητεία του Γενικού Προϊσταμένου, των μελών των Επιτροπών και των Γραμματέων.</w:t>
      </w:r>
    </w:p>
    <w:p>
      <w:pPr>
        <w:spacing w:before="240" w:after="240"/>
        <w:rPr>
          <w:lang w:val="el" w:eastAsia="el"/>
        </w:rPr>
      </w:pPr>
      <w:r>
        <w:rPr>
          <w:lang w:val="el" w:eastAsia="el"/>
        </w:rPr>
        <w:t>Αιτήσεις που δεν θα εξεταστούν μέχρι τις 30 Σεπτεμβρίου 2022, θεωρείται ότι απορρίφθηκαν σιωπηρά και επανεισάγονται με επιμέλεια της Γραμματείας της Επιτροπής στο αρμόδιο Δικαστήριο, χωρίς τη σύνταξη πρακτικού.</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