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2</w:t>
      </w:r>
      <w:r>
        <w:rPr>
          <w:lang w:val="el" w:eastAsia="el"/>
        </w:rPr>
        <w:t xml:space="preserve">1545 </w:t>
      </w:r>
      <w:r>
        <w:rPr>
          <w:b/>
          <w:bCs/>
          <w:lang w:val="el" w:eastAsia="el"/>
        </w:rPr>
        <w:t>Παράταση της μη υποχρέωσης θεώρησης των γνωματεύσεων του Ενιαίου Κανονισμού Παροχών Υγείας του Ε.Ο.Π.Υ.Υ. από ελεγκτή ιατρό.</w:t>
      </w:r>
    </w:p>
    <w:p>
      <w:pPr>
        <w:pStyle w:val="Title"/>
        <w:spacing w:before="120" w:after="36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 2 και 3 του άρθρου 20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w:t>
      </w:r>
    </w:p>
    <w:p>
      <w:pPr>
        <w:spacing w:before="240" w:after="240"/>
        <w:rPr>
          <w:lang w:val="el" w:eastAsia="el"/>
        </w:rPr>
      </w:pPr>
      <w:r>
        <w:rPr>
          <w:lang w:val="el" w:eastAsia="el"/>
        </w:rPr>
        <w:t>2. Την παρ. 2 του άρθρου πεντηκοστού δεύτερου του ν. 4917/2022 «Κύρωση της από 17.3.2022 Επιμέρους Σύμβασης Δωρεάς - Έργο VIII, παράρτημα 12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 Ρυθμίσεις για την αντιμετώπιση της πανδημίας του κορωνοϊού COVID-19 και την προστασία της δημόσιας υγείας και άλλες επείγουσες διατάξεις.» (Α’ 67).</w:t>
      </w:r>
    </w:p>
    <w:p>
      <w:pPr>
        <w:spacing w:before="240" w:after="240"/>
        <w:rPr>
          <w:lang w:val="el" w:eastAsia="el"/>
        </w:rPr>
      </w:pPr>
      <w:r>
        <w:rPr>
          <w:lang w:val="el" w:eastAsia="el"/>
        </w:rPr>
        <w:t>3. Τον ν. 3918/2011 «Διαρθρωτικές αλλαγές στο σύστημα υγείας και άλλες διατάξεις» (Α’ 31).</w:t>
      </w:r>
    </w:p>
    <w:p>
      <w:pPr>
        <w:spacing w:before="240" w:after="240"/>
        <w:rPr>
          <w:lang w:val="el" w:eastAsia="el"/>
        </w:rPr>
      </w:pPr>
      <w:r>
        <w:rPr>
          <w:lang w:val="el" w:eastAsia="el"/>
        </w:rPr>
        <w:t>4.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68/2021 «Διορισμός Υπουργών, Αναπληρώτριας Υπουργού και Υφυπουργών» (Α’ 155).</w:t>
      </w:r>
    </w:p>
    <w:p>
      <w:pPr>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9. Την υπό στοιχεία ΕΑΛΕ/Γ.Π.80157/01-11-2018 κοινή υπουργική απόφαση των Αναπληρωτών Υπουργών Οικονομικών και Υγείας, «Τροποποίηση και αντικατάσταση της υπό στοιχεία ΕΑΛΕ/Γ.Π. 46846/19.6.2018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10. Την υπό στοιχεία ΕΑΛΕ/Γ.Π.οικ.3078/19-01-2022 απόφαση Υπουργού Υγείας «Παράταση της μη υποχρέωσης θεώρησης των γνωματεύσεων του Ενιαίου Κανονισμού Παροχών Υγείας του Ε.Ο.Π.Υ.Υ. από ελεγκτή ιατρό» (Β’ 161).</w:t>
      </w:r>
    </w:p>
    <w:p>
      <w:pPr>
        <w:spacing w:before="240" w:after="240"/>
        <w:rPr>
          <w:lang w:val="el" w:eastAsia="el"/>
        </w:rPr>
      </w:pPr>
      <w:r>
        <w:rPr>
          <w:lang w:val="el" w:eastAsia="el"/>
        </w:rPr>
        <w:t>11. Την υπό στοιχεία Β2β/Γ.Π.οικ.19419/05-04-2022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απόφαση δεν προκαλείται δαπάνη σε βάρος του προϋπολογισμού τ.ε. του Ε.Ο.Π.Υ.Υ. ούτε σε βάρος του κρατικού προϋπολογισμού, αποφασίζουμε:</w:t>
      </w:r>
    </w:p>
    <w:p>
      <w:pPr>
        <w:spacing w:before="240" w:after="240"/>
        <w:rPr>
          <w:lang w:val="el" w:eastAsia="el"/>
        </w:rPr>
      </w:pPr>
      <w:r>
        <w:rPr>
          <w:lang w:val="el" w:eastAsia="el"/>
        </w:rPr>
        <w:t>Παρατείνεται η μη υποχρέωση θεώρησης γνωματεύσεων από ελεγκτή ιατρό, όπου αυτή ορίζεται από τον Ενιαίο Κανονισμό Παροχών Υγείας (Ε.Κ.Π.Υ - υπό στοιχεία ΕΑΛΕ/Γ.Π. 80157/31-10-2018 κοινή υπουργική απόφαση, Β’ 4898), έως την 30η Ιουνίου 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Απριλίου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