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6ΜΔΜ46ΜΠ3Ζ-3</w:t>
      </w:r>
    </w:p>
    <w:p>
      <w:pPr>
        <w:pStyle w:val="Title"/>
        <w:spacing w:before="120" w:after="360"/>
        <w:rPr>
          <w:lang w:val="el" w:eastAsia="el"/>
        </w:rPr>
      </w:pPr>
      <w:r>
        <w:rPr>
          <w:b/>
          <w:bCs/>
          <w:lang w:val="el" w:eastAsia="el"/>
        </w:rPr>
        <w:t>ΑΡΙΘ. ΦΕΚ: Β΄2063/26.</w:t>
      </w:r>
    </w:p>
    <w:p>
      <w:pPr>
        <w:pStyle w:val="Title"/>
        <w:spacing w:before="120" w:after="36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παρ.1, 2, 3, 4 και 6 του άρθρου 68 του ν.4172/2013 (Α΄ 167),</w:t>
      </w:r>
    </w:p>
    <w:p>
      <w:pPr>
        <w:pStyle w:val="StructureList1"/>
        <w:spacing w:before="120" w:after="0"/>
        <w:rPr>
          <w:lang w:val="el" w:eastAsia="el"/>
        </w:rPr>
      </w:pPr>
      <w:r>
        <w:rPr>
          <w:lang w:val="el" w:eastAsia="el"/>
        </w:rPr>
        <w:t>β)</w:t>
      </w:r>
      <w:r>
        <w:rPr>
          <w:lang w:val="en" w:eastAsia="en"/>
        </w:rPr>
        <w:tab/>
      </w:r>
      <w:r>
        <w:rPr>
          <w:b/>
          <w:bCs/>
          <w:lang w:val="el" w:eastAsia="el"/>
        </w:rPr>
        <w:t>της παρ.64 του άρθρου 72 του ν.4172/2013, όπως προστέθηκε με το άρθρο 30 του ν. 4797/2021 (Α΄ 66),</w:t>
      </w:r>
    </w:p>
    <w:p>
      <w:pPr>
        <w:pStyle w:val="StructureList1"/>
        <w:spacing w:before="120" w:after="0"/>
        <w:rPr>
          <w:lang w:val="el" w:eastAsia="el"/>
        </w:rPr>
      </w:pPr>
      <w:r>
        <w:rPr>
          <w:lang w:val="el" w:eastAsia="el"/>
        </w:rPr>
        <w:t>γ)</w:t>
      </w:r>
      <w:r>
        <w:rPr>
          <w:lang w:val="en" w:eastAsia="en"/>
        </w:rPr>
        <w:tab/>
      </w:r>
      <w:r>
        <w:rPr>
          <w:b/>
          <w:bCs/>
          <w:lang w:val="el" w:eastAsia="el"/>
        </w:rPr>
        <w:t>του άρθρου 4 του α.ν.89/1967 (Α΄ 132),</w:t>
      </w:r>
    </w:p>
    <w:p>
      <w:pPr>
        <w:pStyle w:val="StructureList1"/>
        <w:spacing w:before="120" w:after="0"/>
        <w:rPr>
          <w:lang w:val="el" w:eastAsia="el"/>
        </w:rPr>
      </w:pPr>
      <w:r>
        <w:rPr>
          <w:lang w:val="el" w:eastAsia="el"/>
        </w:rPr>
        <w:t>δ)</w:t>
      </w:r>
      <w:r>
        <w:rPr>
          <w:lang w:val="en" w:eastAsia="en"/>
        </w:rPr>
        <w:tab/>
      </w:r>
      <w:r>
        <w:rPr>
          <w:b/>
          <w:bCs/>
          <w:lang w:val="el" w:eastAsia="el"/>
        </w:rPr>
        <w:t>των άρθρων 44 και 45 του ν.4172/2013,</w:t>
      </w:r>
    </w:p>
    <w:p>
      <w:pPr>
        <w:pStyle w:val="StructureList1"/>
        <w:spacing w:before="120" w:after="0"/>
        <w:rPr>
          <w:lang w:val="el" w:eastAsia="el"/>
        </w:rPr>
      </w:pPr>
      <w:r>
        <w:rPr>
          <w:lang w:val="el" w:eastAsia="el"/>
        </w:rPr>
        <w:t>ε)</w:t>
      </w:r>
      <w:r>
        <w:rPr>
          <w:lang w:val="en" w:eastAsia="en"/>
        </w:rPr>
        <w:tab/>
      </w:r>
      <w:r>
        <w:rPr>
          <w:b/>
          <w:bCs/>
          <w:lang w:val="el" w:eastAsia="el"/>
        </w:rPr>
        <w:t>των άρθρων 71Α, 71Δ, 71Ε, 71ΣΤ και 71Ζ του ν.4172/2013,</w:t>
      </w:r>
    </w:p>
    <w:p>
      <w:pPr>
        <w:pStyle w:val="StructureList1"/>
        <w:spacing w:before="120" w:after="0"/>
        <w:rPr>
          <w:lang w:val="el" w:eastAsia="el"/>
        </w:rPr>
      </w:pPr>
      <w:r>
        <w:rPr>
          <w:lang w:val="el" w:eastAsia="el"/>
        </w:rPr>
        <w:t>στ)</w:t>
      </w:r>
      <w:r>
        <w:rPr>
          <w:lang w:val="en" w:eastAsia="en"/>
        </w:rPr>
        <w:tab/>
      </w:r>
      <w:r>
        <w:rPr>
          <w:b/>
          <w:bCs/>
          <w:lang w:val="el" w:eastAsia="el"/>
        </w:rPr>
        <w:t>των άρθρων 6, 18, 19, 31 και 41 του ν.4174/2013 (Α΄ 170),</w:t>
      </w:r>
    </w:p>
    <w:p>
      <w:pPr>
        <w:pStyle w:val="StructureList1"/>
        <w:spacing w:before="120" w:after="0"/>
        <w:rPr>
          <w:lang w:val="el" w:eastAsia="el"/>
        </w:rPr>
      </w:pPr>
      <w:r>
        <w:rPr>
          <w:lang w:val="el" w:eastAsia="el"/>
        </w:rPr>
        <w:t>ζ)</w:t>
      </w:r>
      <w:r>
        <w:rPr>
          <w:lang w:val="en" w:eastAsia="en"/>
        </w:rPr>
        <w:tab/>
      </w:r>
      <w:r>
        <w:rPr>
          <w:b/>
          <w:bCs/>
          <w:lang w:val="el" w:eastAsia="el"/>
        </w:rPr>
        <w:t>των άρθρων 53, 54, 58 και 72 του ν.4174/2013,</w:t>
      </w:r>
    </w:p>
    <w:p>
      <w:pPr>
        <w:pStyle w:val="StructureList1"/>
        <w:spacing w:before="120" w:after="0"/>
        <w:rPr>
          <w:lang w:val="el" w:eastAsia="el"/>
        </w:rPr>
      </w:pPr>
      <w:r>
        <w:rPr>
          <w:lang w:val="el" w:eastAsia="el"/>
        </w:rPr>
        <w:t>η)</w:t>
      </w:r>
      <w:r>
        <w:rPr>
          <w:lang w:val="en" w:eastAsia="en"/>
        </w:rPr>
        <w:tab/>
      </w:r>
      <w:r>
        <w:rPr>
          <w:b/>
          <w:bCs/>
          <w:lang w:val="el" w:eastAsia="el"/>
        </w:rPr>
        <w:t>της παρ.3 του άρθρου 38 του ν.2873/2000 (Α΄ 285),</w:t>
      </w:r>
    </w:p>
    <w:p>
      <w:pPr>
        <w:pStyle w:val="StructureList1"/>
        <w:spacing w:before="120" w:after="0"/>
        <w:rPr>
          <w:lang w:val="el" w:eastAsia="el"/>
        </w:rPr>
      </w:pPr>
      <w:r>
        <w:rPr>
          <w:lang w:val="el" w:eastAsia="el"/>
        </w:rPr>
        <w:t>θ)</w:t>
      </w:r>
      <w:r>
        <w:rPr>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(Β΄4738).</w:t>
      </w:r>
    </w:p>
    <w:p>
      <w:pPr>
        <w:pStyle w:val="Title"/>
        <w:spacing w:before="120" w:after="360"/>
        <w:rPr>
          <w:lang w:val="el" w:eastAsia="el"/>
        </w:rPr>
      </w:pPr>
      <w:r>
        <w:rPr>
          <w:lang w:val="el" w:eastAsia="el"/>
        </w:rPr>
        <w:t xml:space="preserve">2. </w:t>
      </w:r>
      <w:r>
        <w:rPr>
          <w:b/>
          <w:bCs/>
          <w:lang w:val="el" w:eastAsia="el"/>
        </w:rPr>
        <w:t>Την υπό στοιχεία Δ6Α 1015213 ΕΞ 2013/28.01.2013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Β΄372), όπως συμπληρώθηκε, σε συνδυασμό με την υποπαρ.α΄της παρ.3 του άρθρου 41 του ν.4389/2016.</w:t>
      </w:r>
    </w:p>
    <w:p>
      <w:pPr>
        <w:pStyle w:val="Title"/>
        <w:spacing w:before="120" w:after="360"/>
        <w:rPr>
          <w:lang w:val="el" w:eastAsia="el"/>
        </w:rPr>
      </w:pPr>
      <w:r>
        <w:rPr>
          <w:lang w:val="el" w:eastAsia="el"/>
        </w:rPr>
        <w:t xml:space="preserve">3.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παρ.10 του άρθρου 41 του ν.4389/2016, την υπ’ αρ.39/3/30.11.2017 απόφαση του Συμβουλίου Διοίκησης της Α.Α.Δ.Ε. (Υ.Ο.Δ.Δ. 689) «Ανανέωση της θητείας του Διοικητή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Title"/>
        <w:spacing w:before="120" w:after="360"/>
        <w:rPr>
          <w:lang w:val="el" w:eastAsia="el"/>
        </w:rPr>
      </w:pPr>
      <w:r>
        <w:rPr>
          <w:lang w:val="el" w:eastAsia="el"/>
        </w:rPr>
        <w:t xml:space="preserve">4. </w:t>
      </w:r>
      <w:r>
        <w:rPr>
          <w:b/>
          <w:bCs/>
          <w:lang w:val="el" w:eastAsia="el"/>
        </w:rPr>
        <w:t>Την υπό στοιχεία Α.1128/7.06.2021 (Β΄2452) απόφαση του Διοικητή της Α.Α.Δ.Ε.</w:t>
      </w:r>
    </w:p>
    <w:p>
      <w:pPr>
        <w:pStyle w:val="Title"/>
        <w:spacing w:before="120" w:after="360"/>
        <w:rPr>
          <w:lang w:val="el" w:eastAsia="el"/>
        </w:rPr>
      </w:pPr>
      <w:r>
        <w:rPr>
          <w:lang w:val="el" w:eastAsia="el"/>
        </w:rPr>
        <w:t xml:space="preserve">5. </w:t>
      </w:r>
      <w:r>
        <w:rPr>
          <w:b/>
          <w:bCs/>
          <w:lang w:val="el" w:eastAsia="el"/>
        </w:rPr>
        <w:t>Την ανάγκη ομοιόμορφης εκπλήρωσης των φορολογικών υποχρεώσεων από τους υπόχρεους, όπως ορίζονται στην παρ.1 του άρθρου 68 του ν.4172/2013.</w:t>
      </w:r>
    </w:p>
    <w:p>
      <w:pPr>
        <w:pStyle w:val="Title"/>
        <w:spacing w:before="120" w:after="360"/>
        <w:rPr>
          <w:lang w:val="el" w:eastAsia="el"/>
        </w:rPr>
      </w:pPr>
      <w:r>
        <w:rPr>
          <w:lang w:val="el" w:eastAsia="el"/>
        </w:rPr>
        <w:t xml:space="preserve">6.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 αποφασίζουμε:</w:t>
      </w:r>
    </w:p>
    <w:p>
      <w:pPr>
        <w:pStyle w:val="Heading1"/>
        <w:spacing w:before="240" w:after="240"/>
        <w:rPr>
          <w:lang w:val="el" w:eastAsia="el"/>
        </w:rPr>
      </w:pPr>
      <w:r>
        <w:rPr>
          <w:b/>
          <w:bCs/>
          <w:u w:val="single"/>
          <w:lang w:val="el" w:eastAsia="el"/>
        </w:rPr>
        <w:t xml:space="preserve">ΚΕΦΑΛΑΙΟ </w:t>
      </w:r>
      <w:r>
        <w:rPr>
          <w:b/>
          <w:bCs/>
          <w:u w:val="single"/>
          <w:lang w:val="el" w:eastAsia="el"/>
        </w:rPr>
        <w:t>Α΄</w:t>
      </w:r>
    </w:p>
    <w:p>
      <w:pPr>
        <w:pStyle w:val="Heading1"/>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Ορίζουμε ότι ο τύπος και το περιεχόμενο της δήλωσης φορολογίας εισοδήματος φορολογικού έτους 2021 των νομικών προσώπων και νομικών οντοτήτων του άρθρου 45 του ν.4172/2013 (Κ.Φ.Ε.)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Β΄της παρούσας, εκτός των περιπτώσεων που ορίζονται στο ίδιο κεφάλαιο</w:t>
      </w:r>
      <w:r>
        <w:rPr>
          <w:b/>
          <w:bCs/>
          <w:i/>
          <w:iCs/>
          <w:lang w:val="el" w:eastAsia="el"/>
        </w:rPr>
        <w:t>.</w:t>
      </w:r>
      <w:r>
        <w:rPr>
          <w:b/>
          <w:bCs/>
          <w:lang w:val="el" w:eastAsia="el"/>
        </w:rPr>
        <w:t xml:space="preserve"> Ταυτόχρονα με την υποβολή της δήλωσης γίνεται άμεσος προσδιορισμός του φόρου σύμφωνα με την παρ.1 του άρθρου 31 του ν.4174/2013. Η δήλωση φορολογίας εισοδήματος για φορολογικό έτος που λήγει την 31η Δεκεμβρίου 2021 υποβάλλεται εμπρόθεσμα μέχρι την 30η Ιουνίου 2022. Σε περίπτωση που με την υποβολή της δήλωσης φορολογίας εισοδήματος προκύπτει πιστωτικό υπόλοιπο προς επιστροφή, παρέλκει η υποβολή έγγραφου αιτήματος του φορολογουμένου, όπως αυτό ορίζεται από τις διατάξεις της παρ.2 του άρθρου 42 του ν.4174/2013, καθόσον η δήλωση φορολογίας εισοδήματος επέχει θέση έγγραφου αιτήματος [υπό στοιχεία Α.1129/4.4.2019 (Β΄ 1399) απόφαση του Διοικητή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Η πιο πάνω δήλωση, σε περίπτωση που υποβάλλεται </w:t>
      </w:r>
      <w:r>
        <w:rPr>
          <w:b/>
          <w:bCs/>
          <w:u w:val="single"/>
          <w:lang w:val="el" w:eastAsia="el"/>
        </w:rPr>
        <w:t>χειρόγραφα</w:t>
      </w:r>
      <w:r>
        <w:rPr>
          <w:b/>
          <w:bCs/>
          <w:lang w:val="el" w:eastAsia="el"/>
        </w:rPr>
        <w:t>,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pStyle w:val="MainText"/>
        <w:spacing w:before="120" w:after="0"/>
        <w:rPr>
          <w:lang w:val="el" w:eastAsia="el"/>
        </w:rPr>
      </w:pPr>
      <w:r>
        <w:rPr>
          <w:b/>
          <w:bCs/>
          <w:lang w:val="el" w:eastAsia="el"/>
        </w:rPr>
        <w:t>3.1</w:t>
      </w:r>
      <w:r>
        <w:rPr>
          <w:lang w:val="el" w:eastAsia="el"/>
        </w:rPr>
        <w:t xml:space="preserve"> </w:t>
      </w:r>
      <w:r>
        <w:rPr>
          <w:b/>
          <w:bCs/>
          <w:lang w:val="el" w:eastAsia="el"/>
        </w:rPr>
        <w:t>Αντίγραφο των χρηματοοικονομικών καταστάσεων όπως ορίζονται από την κείμενη νομοθεσία του ν.4308/2014.</w:t>
      </w:r>
    </w:p>
    <w:p>
      <w:pPr>
        <w:pStyle w:val="MainText"/>
        <w:spacing w:before="120" w:after="0"/>
        <w:rPr>
          <w:lang w:val="el" w:eastAsia="el"/>
        </w:rPr>
      </w:pPr>
      <w:r>
        <w:rPr>
          <w:b/>
          <w:bCs/>
          <w:lang w:val="el" w:eastAsia="el"/>
        </w:rPr>
        <w:t>3.2</w:t>
      </w:r>
      <w:r>
        <w:rPr>
          <w:lang w:val="el" w:eastAsia="el"/>
        </w:rPr>
        <w:t xml:space="preserve"> </w:t>
      </w:r>
      <w:r>
        <w:rPr>
          <w:b/>
          <w:bCs/>
          <w:lang w:val="el" w:eastAsia="el"/>
        </w:rPr>
        <w:t>Δύο (2) αντίτυπα του εντύπου Ε3 «ΚΑΤΑΣΤΑΣΗ ΟΙΚΟΝΟΜΙΚΩΝ ΣΤΟΙΧΕΙΩΝ ΑΠΟ ΕΠΙΧΕΙΡΗΜΑΤΙΚΗ ΔΡΑΣΤΗΡΙΟΤΗΤΑ».</w:t>
      </w:r>
    </w:p>
    <w:p>
      <w:pPr>
        <w:pStyle w:val="MainText"/>
        <w:spacing w:before="120" w:after="0"/>
        <w:rPr>
          <w:lang w:val="el" w:eastAsia="el"/>
        </w:rPr>
      </w:pPr>
      <w:r>
        <w:rPr>
          <w:b/>
          <w:bCs/>
          <w:lang w:val="el" w:eastAsia="el"/>
        </w:rPr>
        <w:t>3.3</w:t>
      </w:r>
      <w:r>
        <w:rPr>
          <w:lang w:val="el" w:eastAsia="el"/>
        </w:rPr>
        <w:t xml:space="preserve"> </w:t>
      </w:r>
      <w:r>
        <w:rPr>
          <w:b/>
          <w:bCs/>
          <w:lang w:val="el" w:eastAsia="el"/>
        </w:rPr>
        <w:t>. Ένα (1) αντίτυπο του εντύπου Ε2 «ΑΝΑΛΥΤΙΚΗ ΚΑΤΑΣΤΑΣΗ ΓΙΑ ΤΑ ΜΙΣΘΩΜΑΤΑ ΑΚΙΝΗΤΗΣ ΠΕΡΙΟΥΣΙΑΣ».</w:t>
      </w:r>
    </w:p>
    <w:p>
      <w:pPr>
        <w:pStyle w:val="MainText"/>
        <w:spacing w:before="120" w:after="0"/>
        <w:rPr>
          <w:lang w:val="el" w:eastAsia="el"/>
        </w:rPr>
      </w:pPr>
      <w:r>
        <w:rPr>
          <w:b/>
          <w:bCs/>
          <w:lang w:val="el" w:eastAsia="el"/>
        </w:rPr>
        <w:t>3.4</w:t>
      </w:r>
      <w:r>
        <w:rPr>
          <w:lang w:val="el" w:eastAsia="el"/>
        </w:rPr>
        <w:t xml:space="preserve"> </w:t>
      </w:r>
      <w:r>
        <w:rPr>
          <w:b/>
          <w:bCs/>
          <w:lang w:val="el" w:eastAsia="el"/>
        </w:rPr>
        <w:t>Πίνακα Συμφωνίας Λογιστικής-Φορολογικής Βάσης (Π.Σ.Λ.Φ.Β.).</w:t>
      </w:r>
    </w:p>
    <w:p>
      <w:pPr>
        <w:pStyle w:val="MainText"/>
        <w:spacing w:before="120" w:after="0"/>
        <w:rPr>
          <w:lang w:val="el" w:eastAsia="el"/>
        </w:rPr>
      </w:pPr>
      <w:r>
        <w:rPr>
          <w:b/>
          <w:bCs/>
          <w:lang w:val="el" w:eastAsia="el"/>
        </w:rPr>
        <w:t>3.5</w:t>
      </w:r>
      <w:r>
        <w:rPr>
          <w:lang w:val="el" w:eastAsia="el"/>
        </w:rPr>
        <w:t xml:space="preserve"> </w:t>
      </w:r>
      <w:r>
        <w:rPr>
          <w:b/>
          <w:bCs/>
          <w:lang w:val="el" w:eastAsia="el"/>
        </w:rPr>
        <w:t>Πίνακα σχηματισμού φορολογικών αποθεματικών.</w:t>
      </w:r>
    </w:p>
    <w:p>
      <w:pPr>
        <w:pStyle w:val="MainText"/>
        <w:spacing w:before="120" w:after="0"/>
        <w:rPr>
          <w:lang w:val="el" w:eastAsia="el"/>
        </w:rPr>
      </w:pPr>
      <w:r>
        <w:rPr>
          <w:b/>
          <w:bCs/>
          <w:lang w:val="el" w:eastAsia="el"/>
        </w:rPr>
        <w:t>3.6</w:t>
      </w:r>
      <w:r>
        <w:rPr>
          <w:lang w:val="el" w:eastAsia="el"/>
        </w:rPr>
        <w:t xml:space="preserve"> </w:t>
      </w:r>
      <w:r>
        <w:rPr>
          <w:b/>
          <w:bCs/>
          <w:lang w:val="el" w:eastAsia="el"/>
        </w:rPr>
        <w:t>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pStyle w:val="MainText"/>
        <w:spacing w:before="120" w:after="0"/>
        <w:rPr>
          <w:lang w:val="el" w:eastAsia="el"/>
        </w:rPr>
      </w:pPr>
      <w:r>
        <w:rPr>
          <w:b/>
          <w:bCs/>
          <w:lang w:val="el" w:eastAsia="el"/>
        </w:rPr>
        <w:t>3.7</w:t>
      </w:r>
      <w:r>
        <w:rPr>
          <w:lang w:val="el" w:eastAsia="el"/>
        </w:rPr>
        <w:t xml:space="preserve"> </w:t>
      </w:r>
      <w:r>
        <w:rPr>
          <w:b/>
          <w:bCs/>
          <w:lang w:val="el" w:eastAsia="el"/>
        </w:rPr>
        <w:t>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pStyle w:val="MainText"/>
        <w:spacing w:before="120" w:after="0"/>
        <w:rPr>
          <w:lang w:val="el" w:eastAsia="el"/>
        </w:rPr>
      </w:pPr>
      <w:r>
        <w:rPr>
          <w:b/>
          <w:bCs/>
          <w:lang w:val="el" w:eastAsia="el"/>
        </w:rPr>
        <w:t>3.8</w:t>
      </w:r>
      <w:r>
        <w:rPr>
          <w:lang w:val="el" w:eastAsia="el"/>
        </w:rPr>
        <w:t xml:space="preserve"> </w:t>
      </w:r>
      <w:r>
        <w:rPr>
          <w:b/>
          <w:bCs/>
          <w:lang w:val="el" w:eastAsia="el"/>
        </w:rPr>
        <w:t>Απόσπασμα πρακτικών των αρμόδιων οργάνων, σχετικά με την πρόταση διανομής ή κεφαλαιοποίησης αποθεματικών ή κερδών προηγούμενων χρήσεων.</w:t>
      </w:r>
    </w:p>
    <w:p>
      <w:pPr>
        <w:pStyle w:val="MainText"/>
        <w:spacing w:before="120" w:after="0"/>
        <w:rPr>
          <w:lang w:val="el" w:eastAsia="el"/>
        </w:rPr>
      </w:pPr>
      <w:r>
        <w:rPr>
          <w:b/>
          <w:bCs/>
          <w:lang w:val="el" w:eastAsia="el"/>
        </w:rPr>
        <w:t>3.9</w:t>
      </w:r>
      <w:r>
        <w:rPr>
          <w:lang w:val="el" w:eastAsia="el"/>
        </w:rPr>
        <w:t xml:space="preserve"> </w:t>
      </w:r>
      <w:r>
        <w:rPr>
          <w:b/>
          <w:bCs/>
          <w:lang w:val="el" w:eastAsia="el"/>
        </w:rPr>
        <w:t>Βεβαιώσεις για τα ποσά των φόρων που έχουν παρακρατηθεί σε βάρος του νομικού προσώπου ή της νομικής οντότητας.</w:t>
      </w:r>
    </w:p>
    <w:p>
      <w:pPr>
        <w:pStyle w:val="MainText"/>
        <w:spacing w:before="120" w:after="0"/>
        <w:rPr>
          <w:lang w:val="el" w:eastAsia="el"/>
        </w:rPr>
      </w:pPr>
      <w:r>
        <w:rPr>
          <w:b/>
          <w:bCs/>
          <w:lang w:val="el" w:eastAsia="el"/>
        </w:rPr>
        <w:t>3.10</w:t>
      </w:r>
      <w:r>
        <w:rPr>
          <w:lang w:val="el" w:eastAsia="el"/>
        </w:rPr>
        <w:t xml:space="preserve"> </w:t>
      </w:r>
      <w:r>
        <w:rPr>
          <w:b/>
          <w:bCs/>
          <w:lang w:val="el" w:eastAsia="el"/>
        </w:rPr>
        <w:t>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πα.3 του άρθρου 68 του ν.4172/2013, όπως τροποποιήθηκε με την παρ.16 του άρθρου 115 ν.4549/2018 και ισχύει από το φορολογικό έτος 2018.</w:t>
      </w:r>
    </w:p>
    <w:p>
      <w:pPr>
        <w:pStyle w:val="MainText"/>
        <w:spacing w:before="120" w:after="0"/>
        <w:rPr>
          <w:lang w:val="el" w:eastAsia="el"/>
        </w:rPr>
      </w:pPr>
      <w:r>
        <w:rPr>
          <w:b/>
          <w:bCs/>
          <w:lang w:val="el" w:eastAsia="el"/>
        </w:rPr>
        <w:t>3.11</w:t>
      </w:r>
      <w:r>
        <w:rPr>
          <w:lang w:val="el" w:eastAsia="el"/>
        </w:rPr>
        <w:t xml:space="preserve"> </w:t>
      </w:r>
      <w:r>
        <w:rPr>
          <w:b/>
          <w:bCs/>
          <w:lang w:val="el" w:eastAsia="el"/>
        </w:rPr>
        <w:t>Έγγραφο εκπροσώπησης, προκειμένου για αλλοδαπές επιχειρήσεις.</w:t>
      </w:r>
    </w:p>
    <w:p>
      <w:pPr>
        <w:pStyle w:val="MainText"/>
        <w:spacing w:before="120" w:after="0"/>
        <w:rPr>
          <w:lang w:val="el" w:eastAsia="el"/>
        </w:rPr>
      </w:pPr>
      <w:r>
        <w:rPr>
          <w:b/>
          <w:bCs/>
          <w:lang w:val="el" w:eastAsia="el"/>
        </w:rPr>
        <w:t>3.12</w:t>
      </w:r>
      <w:r>
        <w:rPr>
          <w:lang w:val="el" w:eastAsia="el"/>
        </w:rPr>
        <w:t xml:space="preserve"> </w:t>
      </w:r>
      <w:r>
        <w:rPr>
          <w:b/>
          <w:bCs/>
          <w:lang w:val="el" w:eastAsia="el"/>
        </w:rPr>
        <w:t>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2021 και το ποσό του φόρου 15% που αναλογεί σε αυτούς.</w:t>
      </w:r>
    </w:p>
    <w:p>
      <w:pPr>
        <w:pStyle w:val="MainText"/>
        <w:spacing w:before="120" w:after="0"/>
        <w:rPr>
          <w:lang w:val="el" w:eastAsia="el"/>
        </w:rPr>
      </w:pPr>
      <w:r>
        <w:rPr>
          <w:b/>
          <w:bCs/>
          <w:lang w:val="el" w:eastAsia="el"/>
        </w:rPr>
        <w:t>3.13</w:t>
      </w:r>
      <w:r>
        <w:rPr>
          <w:lang w:val="el" w:eastAsia="el"/>
        </w:rPr>
        <w:t xml:space="preserve"> </w:t>
      </w:r>
      <w:r>
        <w:rPr>
          <w:b/>
          <w:bCs/>
          <w:lang w:val="el" w:eastAsia="el"/>
        </w:rPr>
        <w:t>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pStyle w:val="MainText"/>
        <w:spacing w:before="120" w:after="0"/>
        <w:rPr>
          <w:lang w:val="el" w:eastAsia="el"/>
        </w:rPr>
      </w:pPr>
      <w:r>
        <w:rPr>
          <w:b/>
          <w:bCs/>
          <w:lang w:val="el" w:eastAsia="el"/>
        </w:rPr>
        <w:t>3.14</w:t>
      </w:r>
      <w:r>
        <w:rPr>
          <w:lang w:val="el" w:eastAsia="el"/>
        </w:rPr>
        <w:t xml:space="preserve"> </w:t>
      </w:r>
      <w:r>
        <w:rPr>
          <w:b/>
          <w:bCs/>
          <w:lang w:val="el" w:eastAsia="el"/>
        </w:rPr>
        <w:t>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υπό στοιχεία ΠΟΛ.1130/2006 (Β΄ 1860) απόφαση του Υπουργού Οικονομίας και Οικονομικών, η οποία εκδόθηκε κατ’ εξουσιοδότηση των διατάξεων της παρ.20 του άρθρου 7 του ν.3299/2004, για επενδυτικά σχέδια που έχουν υπαχθεί στο καθεστώς της ενίσχυσης της φορολογικής απαλλαγής του νόμου αυτού.</w:t>
      </w:r>
    </w:p>
    <w:p>
      <w:pPr>
        <w:pStyle w:val="MainText"/>
        <w:spacing w:before="120" w:after="0"/>
        <w:rPr>
          <w:lang w:val="el" w:eastAsia="el"/>
        </w:rPr>
      </w:pPr>
      <w:r>
        <w:rPr>
          <w:b/>
          <w:bCs/>
          <w:lang w:val="el" w:eastAsia="el"/>
        </w:rPr>
        <w:t>3.15</w:t>
      </w:r>
      <w:r>
        <w:rPr>
          <w:lang w:val="el" w:eastAsia="el"/>
        </w:rPr>
        <w:t xml:space="preserve"> </w:t>
      </w:r>
      <w:r>
        <w:rPr>
          <w:b/>
          <w:bCs/>
          <w:lang w:val="el" w:eastAsia="el"/>
        </w:rPr>
        <w:t>Τις οριζόμενες στην περ.στ’ της παρ.26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pStyle w:val="MainText"/>
        <w:spacing w:before="120" w:after="0"/>
        <w:rPr>
          <w:lang w:val="el" w:eastAsia="el"/>
        </w:rPr>
      </w:pPr>
      <w:r>
        <w:rPr>
          <w:b/>
          <w:bCs/>
          <w:lang w:val="el" w:eastAsia="el"/>
        </w:rPr>
        <w:t>3.16</w:t>
      </w:r>
      <w:r>
        <w:rPr>
          <w:lang w:val="el" w:eastAsia="el"/>
        </w:rPr>
        <w:t xml:space="preserve"> </w:t>
      </w:r>
      <w:r>
        <w:rPr>
          <w:b/>
          <w:bCs/>
          <w:lang w:val="el" w:eastAsia="el"/>
        </w:rPr>
        <w:t>Την παραγόμενη από το Πληροφοριακό Σύστημα Κρατικών Ενισχύσεων (ΠΣΚΕ) εκτύπωση της ηλεκτρονικά παραληφθείσας «Δήλωσης Φορολογικής Απαλλαγής» σύμφωνα με τις υπ’ αρ.61238/15.6.2020 και 61239/15.6.2020 (Β’ 2471) κοινές αποφάσεις των Υπουργών Οικονομικών-Ανάπτυξης και Επενδύσεων, όπως τροποποιήθηκαν και ισχύουν, σχετικά με την εφαρμογή της ενίσχυσης φορολογικής απαλλαγής σε επενδυτικά σχέδια που έχουν υπαχθεί στις διατάξεις του ν.3908/2011 και ν.4399/2016, αντίστοιχα.</w:t>
      </w:r>
    </w:p>
    <w:p>
      <w:pPr>
        <w:pStyle w:val="MainText"/>
        <w:spacing w:before="120" w:after="0"/>
        <w:rPr>
          <w:lang w:val="el" w:eastAsia="el"/>
        </w:rPr>
      </w:pPr>
      <w:r>
        <w:rPr>
          <w:b/>
          <w:bCs/>
          <w:lang w:val="el" w:eastAsia="el"/>
        </w:rPr>
        <w:t>3.17</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pStyle w:val="MainText"/>
        <w:spacing w:before="120" w:after="0"/>
        <w:rPr>
          <w:lang w:val="el" w:eastAsia="el"/>
        </w:rPr>
      </w:pPr>
      <w:r>
        <w:rPr>
          <w:b/>
          <w:bCs/>
          <w:lang w:val="el" w:eastAsia="el"/>
        </w:rPr>
        <w:t>3.18</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ν.4399/2016 (Α΄ 117), για την ενίσχυση της φορολογικής απαλλαγής.</w:t>
      </w:r>
    </w:p>
    <w:p>
      <w:pPr>
        <w:pStyle w:val="MainText"/>
        <w:spacing w:before="120" w:after="0"/>
        <w:rPr>
          <w:lang w:val="el" w:eastAsia="el"/>
        </w:rPr>
      </w:pPr>
      <w:r>
        <w:rPr>
          <w:b/>
          <w:bCs/>
          <w:lang w:val="el" w:eastAsia="el"/>
        </w:rPr>
        <w:t>3.19</w:t>
      </w:r>
      <w:r>
        <w:rPr>
          <w:lang w:val="el" w:eastAsia="el"/>
        </w:rPr>
        <w:t xml:space="preserve"> </w:t>
      </w:r>
      <w:r>
        <w:rPr>
          <w:b/>
          <w:bCs/>
          <w:lang w:val="el" w:eastAsia="el"/>
        </w:rPr>
        <w:t>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pStyle w:val="MainText"/>
        <w:spacing w:before="120" w:after="0"/>
        <w:rPr>
          <w:lang w:val="el" w:eastAsia="el"/>
        </w:rPr>
      </w:pPr>
      <w:r>
        <w:rPr>
          <w:b/>
          <w:bCs/>
          <w:lang w:val="el" w:eastAsia="el"/>
        </w:rPr>
        <w:t>3.20</w:t>
      </w:r>
      <w:r>
        <w:rPr>
          <w:lang w:val="el" w:eastAsia="el"/>
        </w:rPr>
        <w:t xml:space="preserve"> </w:t>
      </w:r>
      <w:r>
        <w:rPr>
          <w:b/>
          <w:bCs/>
          <w:lang w:val="el" w:eastAsia="el"/>
        </w:rPr>
        <w:t>Τυχόν λοιπά δικαιολογητικά που ορίζονται με τις υπ’ αρ.61238/15.6.2020 και 61239/15.6.2020 (Β’ 2471) κοινές αποφάσεις των Υπουργών Οικονομικών-Ανάπτυξης και Επενδύσεων, όπως τροποποιήθηκαν και ισχύουν, σχετικά με την εφαρμογή της ενίσχυσης φορολογικής απαλλαγής σε επενδυτικά σχέδια που έχουν υπαχθεί στις διατάξεις του ν.3908/2011 και ν.4399/2016, αντίστοιχα.</w:t>
      </w:r>
    </w:p>
    <w:p>
      <w:pPr>
        <w:pStyle w:val="MainText"/>
        <w:spacing w:before="120" w:after="0"/>
        <w:rPr>
          <w:lang w:val="el" w:eastAsia="el"/>
        </w:rPr>
      </w:pPr>
      <w:r>
        <w:rPr>
          <w:b/>
          <w:bCs/>
          <w:lang w:val="el" w:eastAsia="el"/>
        </w:rPr>
        <w:t>3.21</w:t>
      </w:r>
      <w:r>
        <w:rPr>
          <w:lang w:val="el" w:eastAsia="el"/>
        </w:rPr>
        <w:t xml:space="preserve"> </w:t>
      </w:r>
      <w:r>
        <w:rPr>
          <w:b/>
          <w:bCs/>
          <w:lang w:val="el" w:eastAsia="el"/>
        </w:rPr>
        <w:t>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υπό στοιχεία ΠΟΛ.1096/2012 (Β΄ 1162) Α.Υ.Ο.:</w:t>
      </w:r>
    </w:p>
    <w:p>
      <w:pPr>
        <w:spacing w:before="240" w:after="240"/>
        <w:rPr>
          <w:lang w:val="el" w:eastAsia="el"/>
        </w:rPr>
      </w:pPr>
      <w:r>
        <w:rPr>
          <w:b/>
          <w:bCs/>
          <w:lang w:val="el" w:eastAsia="el"/>
        </w:rPr>
        <w:t>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 Τα αποδεικτικά καταβολής του μισθώματος για την περίοδο που αιτείται.</w:t>
      </w:r>
    </w:p>
    <w:p>
      <w:pPr>
        <w:spacing w:before="240" w:after="240"/>
        <w:rPr>
          <w:lang w:val="el" w:eastAsia="el"/>
        </w:rPr>
      </w:pPr>
      <w:r>
        <w:rPr>
          <w:b/>
          <w:bCs/>
          <w:lang w:val="el" w:eastAsia="el"/>
        </w:rPr>
        <w:t>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(Δ΄704) και 23.7/19.8.1998 (Δ΄616) και είναι μεταξύ των περιλαμβανομένων στην παρ.3 του άρθρου 1 της παρούσας.</w:t>
      </w:r>
    </w:p>
    <w:p>
      <w:pPr>
        <w:pStyle w:val="MainText"/>
        <w:spacing w:before="120" w:after="0"/>
        <w:rPr>
          <w:lang w:val="el" w:eastAsia="el"/>
        </w:rPr>
      </w:pPr>
      <w:r>
        <w:rPr>
          <w:b/>
          <w:bCs/>
          <w:lang w:val="el" w:eastAsia="el"/>
        </w:rPr>
        <w:t>3.22</w:t>
      </w:r>
      <w:r>
        <w:rPr>
          <w:lang w:val="el" w:eastAsia="el"/>
        </w:rPr>
        <w:t xml:space="preserve"> </w:t>
      </w:r>
      <w:r>
        <w:rPr>
          <w:b/>
          <w:bCs/>
          <w:lang w:val="el" w:eastAsia="el"/>
        </w:rPr>
        <w:t>Για τις εταιρείες που πραγματοποίησαν μέσα στο φορολογικό έτος 2021 δαπάνες επιστημονικής και τεχνολογικής έρευνας, υπεύθυνη δήλωση του ν.1599/1986 για την υποβολή των απαραίτητων δικαιολογητικών στη Γενική Γραμματεία Έρευνας και Καινοτομίας του Υπουργείου Ανάπτυξης και Επενδύσεων για τις δαπάνες έρευνας και τεχνολογίας που πραγματοποίησαν.</w:t>
      </w:r>
    </w:p>
    <w:p>
      <w:pPr>
        <w:pStyle w:val="MainText"/>
        <w:spacing w:before="120" w:after="0"/>
        <w:rPr>
          <w:lang w:val="el" w:eastAsia="el"/>
        </w:rPr>
      </w:pPr>
      <w:r>
        <w:rPr>
          <w:b/>
          <w:bCs/>
          <w:lang w:val="el" w:eastAsia="el"/>
        </w:rPr>
        <w:t>3.23</w:t>
      </w:r>
      <w:r>
        <w:rPr>
          <w:lang w:val="el" w:eastAsia="el"/>
        </w:rPr>
        <w:t xml:space="preserve"> </w:t>
      </w:r>
      <w:r>
        <w:rPr>
          <w:b/>
          <w:bCs/>
          <w:lang w:val="el" w:eastAsia="el"/>
        </w:rPr>
        <w:t>Για τις επιχειρήσεις που υπάγονται στο άρθρο 71Α του ν.4172/2013, περί φορολογικών κινήτρων ευρεσιτεχνιών, απόφαση Υπαγωγής του Υπουργού Οικονομίας και Ανάπτυξης (νυν Υπουργού Ανάπτυξης και Επενδύσεων), όπως αναφέρεται στην υπό στοιχεία οικ.52738/ΔΕΚΝΤ55/16.5.2018 (Β΄1843) κοινή υπουργική απόφαση των Υπουργών Οικονομίας και Ανάπτυξης,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3.24</w:t>
      </w:r>
      <w:r>
        <w:rPr>
          <w:lang w:val="el" w:eastAsia="el"/>
        </w:rPr>
        <w:t xml:space="preserve"> </w:t>
      </w:r>
      <w:r>
        <w:rPr>
          <w:b/>
          <w:bCs/>
          <w:lang w:val="el" w:eastAsia="el"/>
        </w:rPr>
        <w:t>Για τις επιχειρήσεις που υπάγονται στις διατάξεις της παρ.10 του άρθρου 24 του ν.4172/2013, την έκθεση μηχανικού της παρ.2 του άρθρου 2 της υπό στοιχεία ΠΟΛ. 1121/2018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παρ.2 του άρθρου 3 της ίδιας απόφασης.</w:t>
      </w:r>
    </w:p>
    <w:p>
      <w:pPr>
        <w:pStyle w:val="MainText"/>
        <w:spacing w:before="120" w:after="0"/>
        <w:rPr>
          <w:lang w:val="el" w:eastAsia="el"/>
        </w:rPr>
      </w:pPr>
      <w:r>
        <w:rPr>
          <w:b/>
          <w:bCs/>
          <w:lang w:val="el" w:eastAsia="el"/>
        </w:rPr>
        <w:t>3.25</w:t>
      </w:r>
      <w:r>
        <w:rPr>
          <w:lang w:val="el" w:eastAsia="el"/>
        </w:rPr>
        <w:t xml:space="preserve"> </w:t>
      </w:r>
      <w:r>
        <w:rPr>
          <w:b/>
          <w:bCs/>
          <w:lang w:val="el" w:eastAsia="el"/>
        </w:rPr>
        <w:t>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παρ.4 του άρθρου 2 του ν.2238/1994) μέσα στο φορολογικό έτος 2021,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παρ.13 του άρθρου 26 του ν.4223/2013 με τις οποίες προστέθηκε παρ.24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 τα ακαθάριστα έσοδα όπως προσδιορίσθηκαν με βάση τις διατάξεις της παρ.1 του άρθρου 34 του ν.2238/1994, που προέκυψαν μέσα στο φορολογικό έτος 2021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pStyle w:val="MainText"/>
        <w:spacing w:before="120" w:after="0"/>
        <w:rPr>
          <w:lang w:val="el" w:eastAsia="el"/>
        </w:rPr>
      </w:pPr>
      <w:r>
        <w:rPr>
          <w:b/>
          <w:bCs/>
          <w:lang w:val="el" w:eastAsia="el"/>
        </w:rPr>
        <w:t>3.26</w:t>
      </w:r>
      <w:r>
        <w:rPr>
          <w:lang w:val="el" w:eastAsia="el"/>
        </w:rPr>
        <w:t xml:space="preserve"> </w:t>
      </w:r>
      <w:r>
        <w:rPr>
          <w:b/>
          <w:bCs/>
          <w:lang w:val="el" w:eastAsia="el"/>
        </w:rPr>
        <w:t>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pStyle w:val="MainText"/>
        <w:spacing w:before="120" w:after="0"/>
        <w:rPr>
          <w:lang w:val="el" w:eastAsia="el"/>
        </w:rPr>
      </w:pPr>
      <w:r>
        <w:rPr>
          <w:b/>
          <w:bCs/>
          <w:lang w:val="el" w:eastAsia="el"/>
        </w:rPr>
        <w:t>3.27</w:t>
      </w:r>
      <w:r>
        <w:rPr>
          <w:lang w:val="el" w:eastAsia="el"/>
        </w:rPr>
        <w:t xml:space="preserve"> </w:t>
      </w:r>
      <w:r>
        <w:rPr>
          <w:b/>
          <w:bCs/>
          <w:lang w:val="el" w:eastAsia="el"/>
        </w:rPr>
        <w:t>Για τα νομικά πρόσωπα και για κάθε άτομο που απασχόλησαν από 1.1.2021 με ποσοστό αναπηρίας 67% και άνω, σύμφωνα με τις διατάξεις της παρ.10 του άρθρου 4 του ν.3522/2006 (Α΄ 276), υποβάλλονται τα ακόλουθα δικαιολογητικά:</w:t>
      </w:r>
    </w:p>
    <w:p>
      <w:pPr>
        <w:spacing w:before="240" w:after="240"/>
        <w:rPr>
          <w:lang w:val="el" w:eastAsia="el"/>
        </w:rPr>
      </w:pPr>
      <w:r>
        <w:rPr>
          <w:b/>
          <w:bCs/>
          <w:lang w:val="el" w:eastAsia="el"/>
        </w:rPr>
        <w:t>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 υπεύθυνη δήλωση του ν.1599/1986 με την οποία να δηλώνουν ότι απασχόλησαν τα πιο πάνω πρόσωπα καθώς και το χρονικό διάστημα της απασχόλησής τους.</w:t>
      </w:r>
    </w:p>
    <w:p>
      <w:pPr>
        <w:pStyle w:val="MainText"/>
        <w:spacing w:before="120" w:after="0"/>
        <w:rPr>
          <w:lang w:val="el" w:eastAsia="el"/>
        </w:rPr>
      </w:pPr>
      <w:r>
        <w:rPr>
          <w:b/>
          <w:bCs/>
          <w:lang w:val="el" w:eastAsia="el"/>
        </w:rPr>
        <w:t>3.28</w:t>
      </w:r>
      <w:r>
        <w:rPr>
          <w:lang w:val="el" w:eastAsia="el"/>
        </w:rPr>
        <w:t xml:space="preserve"> </w:t>
      </w:r>
      <w:r>
        <w:rPr>
          <w:b/>
          <w:bCs/>
          <w:lang w:val="el" w:eastAsia="el"/>
        </w:rPr>
        <w:t>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Ανάπτυξης και Επενδύσεων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pStyle w:val="MainText"/>
        <w:spacing w:before="120" w:after="0"/>
        <w:rPr>
          <w:lang w:val="el" w:eastAsia="el"/>
        </w:rPr>
      </w:pPr>
      <w:r>
        <w:rPr>
          <w:b/>
          <w:bCs/>
          <w:lang w:val="el" w:eastAsia="el"/>
        </w:rPr>
        <w:t>3.29</w:t>
      </w:r>
      <w:r>
        <w:rPr>
          <w:lang w:val="el" w:eastAsia="el"/>
        </w:rPr>
        <w:t xml:space="preserve"> </w:t>
      </w:r>
      <w:r>
        <w:rPr>
          <w:b/>
          <w:bCs/>
          <w:lang w:val="el" w:eastAsia="el"/>
        </w:rPr>
        <w:t>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Για τις ναυτιλιακές επιχειρήσεις οποιασδήποτε νομικής μορφής, που φορολογούνται με τις διατάξεις του ν.27/1975 και του άρθρου 57 του ν.4646/2019 η ως άνω κατάσταση συνυποβάλλεται με το έντυπο Ε3, καταχωρώντας υποχρεωτικά στον κωδικό 2018 αυτής τις αντίστοιχες δαπάνες που αφορούν στα απαλλασσόμενα έσοδα.</w:t>
      </w:r>
    </w:p>
    <w:p>
      <w:pPr>
        <w:spacing w:before="240" w:after="240"/>
        <w:rPr>
          <w:lang w:val="el" w:eastAsia="el"/>
        </w:rPr>
      </w:pPr>
      <w:r>
        <w:rPr>
          <w:b/>
          <w:bCs/>
          <w:lang w:val="el" w:eastAsia="el"/>
        </w:rPr>
        <w:t>Σε περίπτωση που αποκτούν και φορολογητέο εισόδημα στην ως άνω κατάσταση καταχωρούν και τις δαπάνες που αντιστοιχούν στα έσοδα που φορολογούνται και δεν εκπίπτουν σύμφωνα με τις διατάξεις του Κ.Φ.Ε.</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pStyle w:val="MainText"/>
        <w:spacing w:before="120" w:after="0"/>
        <w:rPr>
          <w:lang w:val="el" w:eastAsia="el"/>
        </w:rPr>
      </w:pPr>
      <w:r>
        <w:rPr>
          <w:b/>
          <w:bCs/>
          <w:lang w:val="el" w:eastAsia="el"/>
        </w:rPr>
        <w:t>3.30</w:t>
      </w:r>
      <w:r>
        <w:rPr>
          <w:lang w:val="el" w:eastAsia="el"/>
        </w:rPr>
        <w:t xml:space="preserve"> </w:t>
      </w:r>
      <w:r>
        <w:rPr>
          <w:b/>
          <w:bCs/>
          <w:lang w:val="el" w:eastAsia="el"/>
        </w:rPr>
        <w:t>Για τις επιχειρήσεις που υπάγονται στο άρθρο 71Δ του ν.4172/2013, περί φορολογικών κινήτρων για την ενίσχυση των θέσεων απασχόλησης, υπεύθυνη δήλωση του ν.1599/1986 για τον αριθμό και τον μέσο όρο των εργαζομένων με πλήρη απασχόληση, καθώς και για το σύνολο της μισθολογικής δαπάνης, όπως αναφέρονται στην υπό στοιχεία ΠΟΛ.1244/2018 (Β΄ 6044) κοινή απόφαση της Υφυπουργού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3.31</w:t>
      </w:r>
      <w:r>
        <w:rPr>
          <w:lang w:val="el" w:eastAsia="el"/>
        </w:rPr>
        <w:t xml:space="preserve"> </w:t>
      </w:r>
      <w:r>
        <w:rPr>
          <w:b/>
          <w:bCs/>
          <w:lang w:val="el" w:eastAsia="el"/>
        </w:rPr>
        <w:t>Για τις επιχειρήσεις που υπάγονται στο άρθρο 71Ε του ν.4172/2013, περί φορολογικών κινήτρων για την ενίσχυση της παραγωγής οπτικοακουστικών έργων, υπεύθυνη δήλωση του ν.1599/1986 για το συνολικό ποσό που κατέθεσαν το φορολογικό έτος 2021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υπ’ αρ. 31548/2020 (Β΄ 5021) κοινή υπουργική απόφαση των Υπουργών Οικονομικών, Επικρατείας και του Διοικητή της Ανεξάρτητης Αρχής Δημοσίων Εσόδων.</w:t>
      </w:r>
    </w:p>
    <w:p>
      <w:pPr>
        <w:pStyle w:val="MainText"/>
        <w:spacing w:before="120" w:after="0"/>
        <w:rPr>
          <w:lang w:val="el" w:eastAsia="el"/>
        </w:rPr>
      </w:pPr>
      <w:r>
        <w:rPr>
          <w:b/>
          <w:bCs/>
          <w:lang w:val="el" w:eastAsia="el"/>
        </w:rPr>
        <w:t>3.32</w:t>
      </w:r>
      <w:r>
        <w:rPr>
          <w:lang w:val="el" w:eastAsia="el"/>
        </w:rPr>
        <w:t xml:space="preserve"> </w:t>
      </w:r>
      <w:r>
        <w:rPr>
          <w:b/>
          <w:bCs/>
          <w:lang w:val="el" w:eastAsia="el"/>
        </w:rPr>
        <w:t>Την παραγόμενη από τον ιστότοπο της Α.Α.Δ.Ε. εκτύπωση της ηλεκτρονικά υποβληθείσας «Δήλωση Αποκλειστικής Έκδοσης Στοιχείων μέσω Παρόχου», «Δήλωση Αποδοχής Λήψης Ηλεκτρονικών Τιμολογίων» ή «Δήλωση Ανάκλησης», κατά περίπτωση, που ορίσθηκε με την υπό στοιχεία Α.1258/2020 (Β΄ 5243) απόφαση του Διοικητή της Α.Α.Δ.Ε., η οποία εκδόθηκε κατ’ εξουσιοδότηση των διατάξεων της παρ.11 του άρθρου 71ΣΤ του ν.4172/2013, για την παροχή των κινήτρων εφαρμογής της ηλεκτρονικής τιμολόγησης.</w:t>
      </w:r>
    </w:p>
    <w:p>
      <w:pPr>
        <w:pStyle w:val="MainText"/>
        <w:spacing w:before="120" w:after="0"/>
        <w:rPr>
          <w:lang w:val="el" w:eastAsia="el"/>
        </w:rPr>
      </w:pPr>
      <w:r>
        <w:rPr>
          <w:b/>
          <w:bCs/>
          <w:lang w:val="el" w:eastAsia="el"/>
        </w:rPr>
        <w:t>3.33</w:t>
      </w:r>
      <w:r>
        <w:rPr>
          <w:lang w:val="el" w:eastAsia="el"/>
        </w:rPr>
        <w:t xml:space="preserve"> </w:t>
      </w:r>
      <w:r>
        <w:rPr>
          <w:b/>
          <w:bCs/>
          <w:lang w:val="el" w:eastAsia="el"/>
        </w:rPr>
        <w:t>Αναλυτική κατάσταση των παραστατικών, των σχετικών με τον υπολογισμό και την καταβολή της επιβράβευσης της παρ.8 του άρθρου 12 του ν</w:t>
      </w:r>
      <w:r>
        <w:rPr>
          <w:rStyle w:val="link"/>
          <w:b/>
          <w:bCs/>
          <w:lang w:val="el" w:eastAsia="el"/>
        </w:rPr>
        <w:t>.2328/1995,</w:t>
      </w:r>
      <w:r>
        <w:rPr>
          <w:b/>
          <w:bCs/>
          <w:lang w:val="el" w:eastAsia="el"/>
        </w:rPr>
        <w:t xml:space="preserve"> όπως ορίζεται από τις διατάξεις της παρ.6 του άρθρου 68 του Κ.Φ.Ε.</w:t>
      </w:r>
    </w:p>
    <w:p>
      <w:pPr>
        <w:pStyle w:val="MainText"/>
        <w:spacing w:before="120" w:after="0"/>
        <w:rPr>
          <w:lang w:val="el" w:eastAsia="el"/>
        </w:rPr>
      </w:pPr>
      <w:r>
        <w:rPr>
          <w:b/>
          <w:bCs/>
          <w:lang w:val="el" w:eastAsia="el"/>
        </w:rPr>
        <w:t>3.34</w:t>
      </w:r>
      <w:r>
        <w:rPr>
          <w:lang w:val="el" w:eastAsia="el"/>
        </w:rPr>
        <w:t xml:space="preserve"> </w:t>
      </w:r>
      <w:r>
        <w:rPr>
          <w:b/>
          <w:bCs/>
          <w:lang w:val="el" w:eastAsia="el"/>
        </w:rPr>
        <w:t>Για τις εταιρείες ανακύκλωσης που λειτουργούν ως «Σύστημα Εναλλακτικής Διαχείρισης» σύμφωνα με τις διατάξεις του άρθρου 3 του ν.4819/2021, απόφαση του Δ.Σ. του Ελληνικού Οργανισμού Ανακύκλωσης σχετικά με την έγκριση του αιτήματος του Φορέα Συλλογικού Συστήματος Εναλλακτικής Διαχείρισης (Σ.Σ.Ε.Δ.) κατά την παρ.11 του άρθρου 12 του ν.4819/2021 που αφορά στο ειδικό αποθεματικό των Φορέων Σ.Σ.Ε.Δ.</w:t>
      </w:r>
    </w:p>
    <w:p>
      <w:pPr>
        <w:pStyle w:val="MainText"/>
        <w:spacing w:before="120" w:after="0"/>
        <w:rPr>
          <w:lang w:val="el" w:eastAsia="el"/>
        </w:rPr>
      </w:pPr>
      <w:r>
        <w:rPr>
          <w:b/>
          <w:bCs/>
          <w:lang w:val="el" w:eastAsia="el"/>
        </w:rPr>
        <w:t>3.35</w:t>
      </w:r>
      <w:r>
        <w:rPr>
          <w:lang w:val="el" w:eastAsia="el"/>
        </w:rPr>
        <w:t xml:space="preserve"> </w:t>
      </w:r>
      <w:r>
        <w:rPr>
          <w:b/>
          <w:bCs/>
          <w:lang w:val="el" w:eastAsia="el"/>
        </w:rPr>
        <w:t>Για τα νομικά πρόσωπα ή τις νομικές οντότητες που εμπίπτουν στις διατάξεις της παρ.12 του άρθρου 57 του ν.4646/2019, δήλωση απόδοσης τέλους ρυμουλκών και αλιευτικών πλοίων της Α.1201/2020 απόφασης (Β΄3860).</w:t>
      </w:r>
    </w:p>
    <w:p>
      <w:pPr>
        <w:pStyle w:val="MainText"/>
        <w:spacing w:before="120" w:after="0"/>
        <w:rPr>
          <w:lang w:val="el" w:eastAsia="el"/>
        </w:rPr>
      </w:pPr>
      <w:r>
        <w:rPr>
          <w:b/>
          <w:bCs/>
          <w:lang w:val="el" w:eastAsia="el"/>
        </w:rPr>
        <w:t>3.36</w:t>
      </w:r>
      <w:r>
        <w:rPr>
          <w:lang w:val="el" w:eastAsia="el"/>
        </w:rPr>
        <w:t xml:space="preserve"> </w:t>
      </w:r>
      <w:r>
        <w:rPr>
          <w:b/>
          <w:bCs/>
          <w:lang w:val="el" w:eastAsia="el"/>
        </w:rPr>
        <w:t>Βεβαίωση της Γενικής Γραμματείας Έρευνας και Καινοτομίας του Υπουργείου Ανάπτυξης και Επενδύσεων αναφορικά με τον συμψηφισμό ποσού της αυτόματης επιστροφής (clawback) της φαρμακευτικής δαπάνης του Ε.Ο.Π.Υ.Υ. και της νοσοκομειακής φαρμακευτικής δαπάνης, με δαπάνες έρευνας και τεχνολογίας, όπως ορίζεται με τις διατάξεις της περ.ζ ΄της παρ.1 του άρθρου 11 του v.4052/2012 (Α΄41).</w:t>
      </w:r>
    </w:p>
    <w:p>
      <w:pPr>
        <w:pStyle w:val="MainText"/>
        <w:spacing w:before="120" w:after="0"/>
        <w:rPr>
          <w:lang w:val="el" w:eastAsia="el"/>
        </w:rPr>
      </w:pPr>
      <w:r>
        <w:rPr>
          <w:b/>
          <w:bCs/>
          <w:lang w:val="el" w:eastAsia="el"/>
        </w:rPr>
        <w:t>3.37</w:t>
      </w:r>
      <w:r>
        <w:rPr>
          <w:lang w:val="el" w:eastAsia="el"/>
        </w:rPr>
        <w:t xml:space="preserve"> </w:t>
      </w:r>
      <w:r>
        <w:rPr>
          <w:b/>
          <w:bCs/>
          <w:lang w:val="el" w:eastAsia="el"/>
        </w:rPr>
        <w:t>Για τους δικαιούχους των ενισχύσεων της παρ.4 του άρθρου 24 του ν.4172/2013, απόφαση του Αυτοτελούς Τμήματος Ηλεκτροκίνησης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ΥΠΕΝ/ΑΤΗ/90485/323/30.09.2021 (Β΄4504)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3.38</w:t>
      </w:r>
      <w:r>
        <w:rPr>
          <w:lang w:val="el" w:eastAsia="el"/>
        </w:rPr>
        <w:t xml:space="preserve"> </w:t>
      </w:r>
      <w:r>
        <w:rPr>
          <w:b/>
          <w:bCs/>
          <w:lang w:val="el" w:eastAsia="el"/>
        </w:rPr>
        <w:t>Για τους δικαιούχους των ενισχύσεων της περ.γ ΄του άρθρου 22Β του ν.4172/2013, απόφαση του Αυτοτελούς Τμήματος Ηλεκτροκίνησης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ΥΠΕΝ/ΑΤΗ/90483/322/30.09.2021 (Β΄4505) κοινής απόφασης των Υπουργών Οικονομικών – Περιβάλλοντος και Ενέργειας και του Διοικητή της Α.Α.Δ.Ε.</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των περ.β΄και γ΄της παρ.3 του άρθρου 39 του ν.4172/2013.</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p>
    <w:p>
      <w:pPr>
        <w:pStyle w:val="Heading1"/>
        <w:spacing w:before="240" w:after="240"/>
        <w:rPr>
          <w:lang w:val="el" w:eastAsia="el"/>
        </w:rPr>
      </w:pPr>
      <w:r>
        <w:rPr>
          <w:b/>
          <w:bCs/>
          <w:lang w:val="el" w:eastAsia="el"/>
        </w:rPr>
        <w:t>ΥΠΟΒΟΛΗ ΜΕ ΤΗ ΧΡΗΣΗ ΗΛΕΚΤΡΟΝΙΚΗΣ ΜΕΘΟΔΟΥ ΕΠΙΚΟΙΝΩΝΙΑΣ ΤΩΝ ΔΗΛΩΣΕΩΝΦΟΡΟΛΟΓΙΑΣ ΕΙΣΟΔΗΜΑΤΟΣ ΤΩΝ ΝΟΜΙΚΩΝ ΠΡΟΣΩΠΩΝ ΚΑΙ ΝΟΜΙΚΩΝ ΟΝΤΟΤΗΤΩΝ ΤΟΥΑΡΘΡΟΥ 45 ΤΟΥ Ν.4172/2013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υποβολής της δήλωσης φορολογίας εισοδήματος των νομικών προσώπων και νομικώνοντοτήτων του άρθρου 45 του ν.4172/2013</w:t>
      </w:r>
    </w:p>
    <w:p>
      <w:pPr>
        <w:pStyle w:val="MainText"/>
        <w:spacing w:before="120" w:after="0"/>
        <w:rPr>
          <w:lang w:val="el" w:eastAsia="el"/>
        </w:rPr>
      </w:pPr>
      <w:r>
        <w:rPr>
          <w:b/>
          <w:bCs/>
          <w:lang w:val="el" w:eastAsia="el"/>
        </w:rPr>
        <w:t>5.1</w:t>
      </w:r>
      <w:r>
        <w:rPr>
          <w:lang w:val="el" w:eastAsia="el"/>
        </w:rPr>
        <w:t xml:space="preserve"> </w:t>
      </w:r>
      <w:r>
        <w:rPr>
          <w:b/>
          <w:bCs/>
          <w:lang w:val="el" w:eastAsia="el"/>
        </w:rPr>
        <w:t>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w:t>
      </w:r>
    </w:p>
    <w:p>
      <w:pPr>
        <w:spacing w:before="240" w:after="240"/>
        <w:rPr>
          <w:lang w:val="el" w:eastAsia="el"/>
        </w:rPr>
      </w:pPr>
      <w:r>
        <w:rPr>
          <w:b/>
          <w:bCs/>
          <w:lang w:val="el" w:eastAsia="el"/>
        </w:rPr>
        <w:t>ΕΠΙΧΕΙΡΗΜΑΤΙΚΗ ΔΡΑΣΤΗΡΙΟΤΗΤΑ», συμπεριλαμβανομένης και της κατάστασης φορολογικής αναμόρφωσης,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Νομικών Προσώπων και Νομικών Οντοτήτων της ΑΑΔΕ, μέσω της ψηφιακής πύλης myAADE.</w:t>
      </w:r>
    </w:p>
    <w:p>
      <w:pPr>
        <w:pStyle w:val="MainText"/>
        <w:spacing w:before="120" w:after="0"/>
        <w:rPr>
          <w:lang w:val="el" w:eastAsia="el"/>
        </w:rPr>
      </w:pPr>
      <w:r>
        <w:rPr>
          <w:b/>
          <w:bCs/>
          <w:lang w:val="el" w:eastAsia="el"/>
        </w:rPr>
        <w:t>5.2</w:t>
      </w:r>
      <w:r>
        <w:rPr>
          <w:lang w:val="el" w:eastAsia="el"/>
        </w:rPr>
        <w:t xml:space="preserve"> </w:t>
      </w:r>
      <w:r>
        <w:rPr>
          <w:b/>
          <w:bCs/>
          <w:lang w:val="el" w:eastAsia="el"/>
        </w:rPr>
        <w:t>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της δήλωσης εκτός του πίνακα 1 είναι υποχρεωτική εφόσον συντρέχει περίπτωση και πρέπει να προηγείται της συμπλήρωσης των υπόλοιπων κωδικών του ενιαίου εντύπου, καθώς ποσά από αυτούς τους πίνακες μεταφέρονται στους κωδικούς του εντύπου. Τα λοιπά δικαιολογητικά που προβλέπονται κατά περίπτωση από την παρούσα απόφαση δεν συνυποβάλλονται, αλλά φυλάσσονται για τον έλεγχο.</w:t>
      </w:r>
    </w:p>
    <w:p>
      <w:pPr>
        <w:pStyle w:val="MainText"/>
        <w:spacing w:before="120" w:after="0"/>
        <w:rPr>
          <w:lang w:val="el" w:eastAsia="el"/>
        </w:rPr>
      </w:pPr>
      <w:r>
        <w:rPr>
          <w:b/>
          <w:bCs/>
          <w:lang w:val="el" w:eastAsia="el"/>
        </w:rPr>
        <w:t>5.3</w:t>
      </w:r>
      <w:r>
        <w:rPr>
          <w:lang w:val="el" w:eastAsia="el"/>
        </w:rPr>
        <w:t xml:space="preserve"> </w:t>
      </w:r>
      <w:r>
        <w:rPr>
          <w:b/>
          <w:bCs/>
          <w:lang w:val="el" w:eastAsia="el"/>
        </w:rPr>
        <w:t>Τα νομικά πρόσωπα και οι νομικές οντότητες που καθίστανται νέοι χρήστες εγγράφονται στις διαδικτυακές υπηρεσίες της ΑΑΔΕ σύμφωνα με όσα ορίζονται με την υπό στοιχεία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5.4</w:t>
      </w:r>
      <w:r>
        <w:rPr>
          <w:lang w:val="el" w:eastAsia="el"/>
        </w:rPr>
        <w:t xml:space="preserve"> </w:t>
      </w:r>
      <w:r>
        <w:rPr>
          <w:b/>
          <w:bCs/>
          <w:lang w:val="el" w:eastAsia="el"/>
        </w:rPr>
        <w:t>Τα νομικά πρόσωπα ή οι νομικές οντότητες που υποβάλλουν δήλωση φορολογίας εισοδήματος με επιφύλαξη, σύμφωνα με τα οριζόμενα στο άρθρο 20 του ν.4174/2013, προσκομίζουν στην αρμόδια για τη φορολογία τους Δ.Ο.Υ. εντός προθεσμίας τριών (3) εργάσιμων ημερών αντίγραφο της δήλωσης που έχουν υποβάλει με χρήση της διαδικτυακής Υπηρεσίας υποβολής δηλώσεων μέσω της ψηφιακής πύλης myAADE, συνοδευόμενη με τα απαραίτητα δικαιολογητικά έγγραφα και στοιχεία, έτσι ώστε η Δ.Ο.Υ. να αποφανθεί για τη σχετική επιφύλαξη.</w:t>
      </w:r>
    </w:p>
    <w:p>
      <w:pPr>
        <w:pStyle w:val="MainText"/>
        <w:spacing w:before="120" w:after="0"/>
        <w:rPr>
          <w:lang w:val="el" w:eastAsia="el"/>
        </w:rPr>
      </w:pPr>
      <w:r>
        <w:rPr>
          <w:b/>
          <w:bCs/>
          <w:lang w:val="el" w:eastAsia="el"/>
        </w:rPr>
        <w:t>5.5</w:t>
      </w:r>
      <w:r>
        <w:rPr>
          <w:lang w:val="el" w:eastAsia="el"/>
        </w:rPr>
        <w:t xml:space="preserve"> </w:t>
      </w:r>
      <w:r>
        <w:rPr>
          <w:b/>
          <w:bCs/>
          <w:lang w:val="el" w:eastAsia="el"/>
        </w:rPr>
        <w:t>Τα νομικά πρόσωπα ή οι νομικές οντότητες των οποίων ο λογιστής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υποβάλουν τη δήλωση ηλεκτρονικά, κατά τα οριζόμενα του άρθρου 93 του ν.4764/2020 και κατόπιν αίτησης στην αρμόδια ΔOY, προσκομίζοντας τα οριζόμενα αποδεικτικά στοιχεία (βεβαίωση δημόσιου νοσοκομείου- εξουσιοδότηση λογιστή φοροτεχνικού μέσω της ψηφιακής πύλης myAADE), δεν επιβάλλονται ο τόκος εκπρόθεσμης καταβολής του άρθρου 53 και τα πρόστιμα του άρθρου 54 του ν.4174/2013. Τα ανωτέρω ισχύουν και σε περίπτωση θανάτου του λογιστή-φοροτεχνικού των εν λόγω προσώπων.</w:t>
      </w:r>
    </w:p>
    <w:p>
      <w:pPr>
        <w:spacing w:before="240" w:after="240"/>
        <w:rPr>
          <w:lang w:val="el" w:eastAsia="el"/>
        </w:rPr>
      </w:pPr>
      <w:r>
        <w:rPr>
          <w:b/>
          <w:bCs/>
          <w:lang w:val="el" w:eastAsia="el"/>
        </w:rPr>
        <w:t>Η εξουσιοδότηση προς το λογιστή φοροτεχνικό αφορά στη διαχείριση των εντύπων Ν, Ε2 και Ε3 και πραγματοποιείται διαδικτυακά στην εφαρμογή διαχείρισης εξουσιοδοτήσεων του λογαριασμού του νομικού προσώπου ή της νομικής οντότητας, μέσω της ψηφιακής πύλης myAADE.</w:t>
      </w:r>
    </w:p>
    <w:p>
      <w:pPr>
        <w:pStyle w:val="MainText"/>
        <w:spacing w:before="120" w:after="0"/>
        <w:rPr>
          <w:lang w:val="el" w:eastAsia="el"/>
        </w:rPr>
      </w:pPr>
      <w:r>
        <w:rPr>
          <w:b/>
          <w:bCs/>
          <w:lang w:val="el" w:eastAsia="el"/>
        </w:rPr>
        <w:t>5.6</w:t>
      </w:r>
      <w:r>
        <w:rPr>
          <w:lang w:val="el" w:eastAsia="el"/>
        </w:rPr>
        <w:t xml:space="preserve"> </w:t>
      </w:r>
      <w:r>
        <w:rPr>
          <w:b/>
          <w:bCs/>
          <w:lang w:val="el" w:eastAsia="el"/>
        </w:rPr>
        <w:t>Η δήλωση υποβάλλεται στη Δ.Ο.Υ. εντός των νομίμων προθεσμιών, όταν το νομικό πρόσωπο και η νομική οντότητα έχει κάνει χρήση φορολογικών κινήτρων για μετασχηματισμούς (βάσει ν.δ.1297/1972, ν.2166/1993, ν.2515/1997, κ.λπ.), καθώς και των άρθρων 52 και 54 του ν.4172/2013. Επισημαίνεται ότι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των ν.3908/2011 και ν.4399/2016 υποβάλλουν τη δήλωση μόνο ηλεκτρονικά. Επίσης, σε περίπτωση νομικών προσώπων ή νομικών οντοτήτων υπό εκκαθάριση υποβάλλεται στη Δ.Ο.Υ. η οριστική δήλωση της εκκαθάρισης όταν αυτή υπερβαίνει τους δώδεκα μήνες. Στη Δ.Ο.Υ. υποβάλλονται και οι δηλώσεις νομικών προσώπων ή νομικών οντοτήτων που αναβιώνουν καθώς και οι δηλώσεις στην περίπτωση ενεργοποίησης στο Φορολογικό Μητρώο του Α.Φ.Μ. των νομικών προσώπων και νομικών οντοτήτων που έχουν προβεί στη διακοπή των εργασιών τους στη Δ.Ο.Υ. χωρίς να έχουν ολοκληρώσει το στάδιο της εκκαθάρισης. Επίσης, στη Δ.Ο.Υ. υποβάλλονται: α) οι δηλώσεις των υπό ίδρυση ιδρυμάτων,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 και β) οι δηλώσεις φορολογίας εισοδήματος των Εταιρειών Κεφαλαίου Επιχειρηματικών Συμμετοχών (Ε.Κ.Ε.Σ.) του ν.2367/1995 (Α΄261) σε περίπτωση διανομής κερδών.</w:t>
      </w:r>
    </w:p>
    <w:p>
      <w:pPr>
        <w:spacing w:before="240" w:after="240"/>
        <w:rPr>
          <w:lang w:val="el" w:eastAsia="el"/>
        </w:rPr>
      </w:pPr>
      <w:r>
        <w:rPr>
          <w:b/>
          <w:bCs/>
          <w:lang w:val="el" w:eastAsia="el"/>
        </w:rPr>
        <w:t>Οι παραπάνω δηλώσεις υποβάλλονται στην αρμόδια Δ.Ο.Υ είτε με αποστολή αιτήματος μέσω της πλατφόρμας «Τα Αιτήματά μου» στην ψηφιακή πύλη myAADE (</w:t>
      </w:r>
      <w:hyperlink r:id="rId4"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Ν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Δ.Ο.Υ. είναι αναρτημένα στην ιστοσελίδα της Α.Α.Δ.Ε. στο διαδίκτυο (</w:t>
      </w:r>
      <w:hyperlink r:id="rId5" w:history="1">
        <w:r>
          <w:rPr>
            <w:rStyle w:val="Hyperlink"/>
            <w:b/>
            <w:bCs/>
            <w:color w:val="0000EE"/>
            <w:u w:color="0000EE"/>
            <w:lang w:val="el" w:eastAsia="el"/>
          </w:rPr>
          <w:t>www.aade.gr/menoy/aade/epikoinonia</w:t>
        </w:r>
      </w:hyperlink>
      <w:r>
        <w:rPr>
          <w:b/>
          <w:bCs/>
          <w:lang w:val="el" w:eastAsia="el"/>
        </w:rPr>
        <w:t>) «Στοιχεία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 πλατφόρμα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5.7</w:t>
      </w:r>
      <w:r>
        <w:rPr>
          <w:lang w:val="el" w:eastAsia="el"/>
        </w:rPr>
        <w:t xml:space="preserve"> </w:t>
      </w:r>
      <w:r>
        <w:rPr>
          <w:b/>
          <w:bCs/>
          <w:lang w:val="el" w:eastAsia="el"/>
        </w:rPr>
        <w:t>Επίσης, κατ’ εφαρμογή των διατάξεων της παρ.12 του άρθρου 57 του ν.4646/2019 (Α΄ 201) απαλλάσσονται από την επιβολή του τέλους επιτηδεύματος τα νομικά πρόσωπα/νομικές οντότητες της παρ.2 του ίδιου ως άνω άρθρου και νόμου, ήτοι οι υπόχρεοι σε καταβολή τέλους ρυμουλκών και αλιευτικών πλοίων, το οποίο επιβάλλεται σε όλα τα υπό ελληνική σημαία αλιευτικά πλοία και πλοιάρια, καθώς και στα ρυμουλκά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Ε.2115/2021 εγκύκλιος).</w:t>
      </w:r>
    </w:p>
    <w:p>
      <w:pPr>
        <w:spacing w:before="240" w:after="240"/>
        <w:rPr>
          <w:lang w:val="el" w:eastAsia="el"/>
        </w:rPr>
      </w:pPr>
      <w:r>
        <w:rPr>
          <w:b/>
          <w:bCs/>
          <w:lang w:val="el" w:eastAsia="el"/>
        </w:rPr>
        <w:t>Τα νομικά πρόσωπα/νομικές οντότητες που είναι πλοιοκτήτες ρυμουλκών πλοίων ή κάθε πρόσωπο που κατ’ εντολή του πλοιοκτήτη ή οποιασδήποτε αρχής ή από οποιαδήποτε άλλη αιτία διαχειρίζεται το πλοίο και εισπράττει ναύλους ρυμουλκών και τα οποία (πρόσωπα/οντότητες) υπάγονται αποκλειστικά στις διατάξεις του άρθρου 57 του ν.4646/2019 και δεν εμπίπτουν στις διατάξεις του ν.27/1975, υποβάλλουν δήλωση φορολογίας εισοδήματος με επιφύλαξη, σύμφωνα με τα οριζόμενα στο άρθρο 20 του ν.4174/2013, και προσκομίζουν στην αρμόδια για τη φορολογία τους Δ.Ο.Υ. εντός προθεσμίας τριάντα (30) ημερών αντίγραφο της δήλωσης που έχουν υποβάλει ηλεκτρονικά, συνοδευόμενη με τα απαραίτητα δικαιολογητικά έγγραφα και στοιχεία, ώστε η Δ.Ο.Υ. να αποφανθεί για τη σχετική επιφύλαξη περί μη επιβολής του τέλους επιτηδεύματος του άρθρου 31 του ν.3986/2011.</w:t>
      </w:r>
    </w:p>
    <w:p>
      <w:pPr>
        <w:pStyle w:val="MainText"/>
        <w:spacing w:before="120" w:after="0"/>
        <w:rPr>
          <w:lang w:val="el" w:eastAsia="el"/>
        </w:rPr>
      </w:pPr>
      <w:r>
        <w:rPr>
          <w:b/>
          <w:bCs/>
          <w:lang w:val="el" w:eastAsia="el"/>
        </w:rPr>
        <w:t>5.8</w:t>
      </w:r>
      <w:r>
        <w:rPr>
          <w:lang w:val="el" w:eastAsia="el"/>
        </w:rPr>
        <w:t xml:space="preserve"> </w:t>
      </w:r>
      <w:r>
        <w:rPr>
          <w:b/>
          <w:bCs/>
          <w:lang w:val="el" w:eastAsia="el"/>
        </w:rPr>
        <w:t>Εκτός της περ.5.6,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και Κεφαλαίου), η δήλωση υποβάλλεται εμπρόθεσμα εντός δέκα (10) εργασίμων ημερών μετά τη λήξη της προθεσμίας υποβολής στην αρμόδια Δ.Ο.Υ.</w:t>
      </w:r>
    </w:p>
    <w:p>
      <w:pPr>
        <w:pStyle w:val="MainText"/>
        <w:spacing w:before="120" w:after="0"/>
        <w:rPr>
          <w:lang w:val="el" w:eastAsia="el"/>
        </w:rPr>
      </w:pPr>
      <w:r>
        <w:rPr>
          <w:b/>
          <w:bCs/>
          <w:lang w:val="el" w:eastAsia="el"/>
        </w:rPr>
        <w:t>5.9</w:t>
      </w:r>
      <w:r>
        <w:rPr>
          <w:lang w:val="el" w:eastAsia="el"/>
        </w:rPr>
        <w:t xml:space="preserve"> </w:t>
      </w:r>
      <w:r>
        <w:rPr>
          <w:b/>
          <w:bCs/>
          <w:lang w:val="el" w:eastAsia="el"/>
        </w:rPr>
        <w:t>Για τις δηλώσεις φορολογίας εισοδήματος των περ.5.6 και 5.8 θα υποβάλλονται στη Δ.Ο.Υ. και τα έντυπα (Ε2) και (Ε3), καθώς και η κατάσταση φορολογικής αναμόρφωσης.</w:t>
      </w:r>
    </w:p>
    <w:p>
      <w:pPr>
        <w:pStyle w:val="MainText"/>
        <w:spacing w:before="120" w:after="0"/>
        <w:rPr>
          <w:lang w:val="el" w:eastAsia="el"/>
        </w:rPr>
      </w:pPr>
      <w:r>
        <w:rPr>
          <w:b/>
          <w:bCs/>
          <w:lang w:val="el" w:eastAsia="el"/>
        </w:rPr>
        <w:t>5.10</w:t>
      </w:r>
      <w:r>
        <w:rPr>
          <w:lang w:val="el" w:eastAsia="el"/>
        </w:rPr>
        <w:t xml:space="preserve"> </w:t>
      </w:r>
      <w:r>
        <w:rPr>
          <w:b/>
          <w:bCs/>
          <w:lang w:val="el" w:eastAsia="el"/>
        </w:rPr>
        <w:t>Τα έντυπα για την υποβολή της δήλωσης εκτυπώνονται από την ψηφιακή πύλη myAADE.</w:t>
      </w:r>
    </w:p>
    <w:p>
      <w:pPr>
        <w:pStyle w:val="MainText"/>
        <w:spacing w:before="120" w:after="0"/>
        <w:rPr>
          <w:lang w:val="el" w:eastAsia="el"/>
        </w:rPr>
      </w:pPr>
      <w:r>
        <w:rPr>
          <w:b/>
          <w:bCs/>
          <w:lang w:val="el" w:eastAsia="el"/>
        </w:rPr>
        <w:t>5.11</w:t>
      </w:r>
      <w:r>
        <w:rPr>
          <w:lang w:val="el" w:eastAsia="el"/>
        </w:rPr>
        <w:t xml:space="preserve"> </w:t>
      </w:r>
      <w:r>
        <w:rPr>
          <w:b/>
          <w:bCs/>
          <w:lang w:val="el" w:eastAsia="el"/>
        </w:rPr>
        <w:t>Στην περίπτωση που νομικό πρόσωπο ή νομική οντότητα τίθεται σε εκκαθάριση ή διακόπτει τις εργασίες του μέσα στο φορολογικό έτος 2021 και πριν την έναρξη της διαδικτυακής υποβολής των δηλώσεων για το ίδιο φορολογικό έτος, η δήλωση υποβάλλεται διαδικτυακά (μέσω της ψηφιακής πύλης myAADE)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6Χρόνος ηλεκτρονικής υποβολής</w:t>
      </w:r>
    </w:p>
    <w:p>
      <w:pPr>
        <w:pStyle w:val="MainText"/>
        <w:spacing w:before="120" w:after="0"/>
        <w:rPr>
          <w:lang w:val="el" w:eastAsia="el"/>
        </w:rPr>
      </w:pPr>
      <w:r>
        <w:rPr>
          <w:b/>
          <w:bCs/>
          <w:lang w:val="el" w:eastAsia="el"/>
        </w:rPr>
        <w:t>6.1</w:t>
      </w:r>
      <w:r>
        <w:rPr>
          <w:lang w:val="el" w:eastAsia="el"/>
        </w:rPr>
        <w:t xml:space="preserve"> </w:t>
      </w:r>
      <w:r>
        <w:rPr>
          <w:b/>
          <w:bCs/>
          <w:lang w:val="el" w:eastAsia="el"/>
        </w:rPr>
        <w:t>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pStyle w:val="MainText"/>
        <w:spacing w:before="120" w:after="0"/>
        <w:rPr>
          <w:lang w:val="el" w:eastAsia="el"/>
        </w:rPr>
      </w:pPr>
      <w:r>
        <w:rPr>
          <w:b/>
          <w:bCs/>
          <w:lang w:val="el" w:eastAsia="el"/>
        </w:rPr>
        <w:t>6.2</w:t>
      </w:r>
      <w:r>
        <w:rPr>
          <w:lang w:val="el" w:eastAsia="el"/>
        </w:rPr>
        <w:t xml:space="preserve"> </w:t>
      </w:r>
      <w:r>
        <w:rPr>
          <w:b/>
          <w:bCs/>
          <w:lang w:val="el" w:eastAsia="el"/>
        </w:rPr>
        <w:t>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ν.4174/2013.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7Έλεγχος – Ενημέρωση Δ.Ο.Υ.</w:t>
      </w:r>
    </w:p>
    <w:p>
      <w:pPr>
        <w:pStyle w:val="MainText"/>
        <w:spacing w:before="120" w:after="0"/>
        <w:rPr>
          <w:lang w:val="el" w:eastAsia="el"/>
        </w:rPr>
      </w:pPr>
      <w:r>
        <w:rPr>
          <w:b/>
          <w:bCs/>
          <w:lang w:val="el" w:eastAsia="el"/>
        </w:rPr>
        <w:t>7.1</w:t>
      </w:r>
      <w:r>
        <w:rPr>
          <w:lang w:val="el" w:eastAsia="el"/>
        </w:rPr>
        <w:t xml:space="preserve"> </w:t>
      </w:r>
      <w:r>
        <w:rPr>
          <w:b/>
          <w:bCs/>
          <w:lang w:val="el" w:eastAsia="el"/>
        </w:rPr>
        <w:t>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7.2</w:t>
      </w:r>
      <w:r>
        <w:rPr>
          <w:lang w:val="el" w:eastAsia="el"/>
        </w:rPr>
        <w:t xml:space="preserve"> </w:t>
      </w:r>
      <w:r>
        <w:rPr>
          <w:b/>
          <w:bCs/>
          <w:lang w:val="el" w:eastAsia="el"/>
        </w:rPr>
        <w:t>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(με συνημμένα πέντε (5) φύλλα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aade.gr/gsisapps5/myaade/%23!/arxiki" TargetMode="External" /><Relationship Id="rId5" Type="http://schemas.openxmlformats.org/officeDocument/2006/relationships/hyperlink" Target="http://www.aade.gr/menoy/aade/epikoinon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