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44070/28-04-2022</w:t>
      </w:r>
    </w:p>
    <w:p>
      <w:pPr>
        <w:pStyle w:val="Title"/>
        <w:spacing w:before="120" w:after="360"/>
        <w:rPr>
          <w:lang w:val="el" w:eastAsia="el"/>
        </w:rPr>
      </w:pPr>
      <w:r>
        <w:rPr>
          <w:lang w:val="el" w:eastAsia="el"/>
        </w:rPr>
        <w:t>Καθορισμός των Κωδικών Αριθμών Δραστηριότητας (Κ.Α.Δ.) που αντιστοιχούν σε εμπορική δραστηριότητα, για την εγγραφή των φυσικών προσώπων στο Γ.Ε.ΜΗ</w:t>
      </w:r>
    </w:p>
    <w:p>
      <w:pPr>
        <w:pStyle w:val="Title"/>
        <w:spacing w:before="120" w:after="360"/>
        <w:rPr>
          <w:lang w:val="el" w:eastAsia="el"/>
        </w:rPr>
      </w:pPr>
      <w:r>
        <w:rPr>
          <w:b/>
          <w:bCs/>
          <w:lang w:val="el" w:eastAsia="el"/>
        </w:rPr>
        <w:t>Αριθμ. 44070/2022</w:t>
      </w:r>
    </w:p>
    <w:p>
      <w:pPr>
        <w:pStyle w:val="PreambelText"/>
        <w:spacing w:before="240" w:after="240"/>
        <w:rPr>
          <w:lang w:val="el" w:eastAsia="el"/>
        </w:rPr>
      </w:pPr>
      <w:r>
        <w:rPr>
          <w:lang w:val="el" w:eastAsia="el"/>
        </w:rPr>
        <w:t>(ΦΕΚ Β' 2226/06-05-2022)</w:t>
      </w:r>
    </w:p>
    <w:p>
      <w:pPr>
        <w:pStyle w:val="PreambelText"/>
        <w:spacing w:before="240" w:after="240"/>
        <w:rPr>
          <w:lang w:val="el" w:eastAsia="el"/>
        </w:rPr>
      </w:pPr>
      <w:r>
        <w:rPr>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περ. ιστ) της παρ. 1 του άρθρου 16, της παρ. 2 του άρθρου 24, καθώς και της παρ. 4 του άρθρου 57 του ν. 4919/2022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Οδηγίας (ΕΕ) 2017/1132, όσον αφορά τη χρήση ψηφιακών εργαλείων και διαδικασιών στον τομέα εταιρικού δικαίου (L 1860) και λοιπές επείγουσες διατάξεις» (Α’ 71),</w:t>
      </w:r>
    </w:p>
    <w:p>
      <w:pPr>
        <w:pStyle w:val="PreambelText"/>
        <w:spacing w:before="240" w:after="240"/>
        <w:rPr>
          <w:lang w:val="el" w:eastAsia="el"/>
        </w:rPr>
      </w:pPr>
      <w:r>
        <w:rPr>
          <w:lang w:val="el" w:eastAsia="el"/>
        </w:rPr>
        <w:t>β. 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γ.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δ. του π.δ. 83/2019 «Διορισμός Αντιπροέδρου της Κυβέρνησης, Υπουργών, Αναπληρωτών Υπουργών και Υφυπουργών» (Α’ 121) και</w:t>
      </w:r>
    </w:p>
    <w:p>
      <w:pPr>
        <w:pStyle w:val="PreambelText"/>
        <w:spacing w:before="240" w:after="240"/>
        <w:rPr>
          <w:lang w:val="el" w:eastAsia="el"/>
        </w:rPr>
      </w:pPr>
      <w:r>
        <w:rPr>
          <w:lang w:val="el" w:eastAsia="el"/>
        </w:rPr>
        <w:t>ε. του π.δ. 5/2022 «Οργανισμός Υπουργείου Ανάπτυξης και Επενδύσεων» (Α’ 15).</w:t>
      </w:r>
    </w:p>
    <w:p>
      <w:pPr>
        <w:pStyle w:val="PreambelText"/>
        <w:spacing w:before="240" w:after="240"/>
        <w:rPr>
          <w:lang w:val="el" w:eastAsia="el"/>
        </w:rPr>
      </w:pPr>
      <w:r>
        <w:rPr>
          <w:lang w:val="el" w:eastAsia="el"/>
        </w:rPr>
        <w:t>2. Το γεγονός ότι, σύμφωνα με την υπ’ αρ. 39706/14-04-2022 εισήγηση του Αναπληρωτή Προϊσταμένου της Γενικής Διεύθυνσης Οικονομικών Υπηρεσιών του Υπουργείου Ανάπτυξης και Επενδύσεων, βάσει της περ. (ε) της παρ. 5 του άρθρου 24 του ν. 4270/2014 (Α’ 143),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αποφασίζει:</w:t>
      </w:r>
    </w:p>
    <w:p>
      <w:pPr>
        <w:pStyle w:val="PreambelText"/>
        <w:spacing w:before="240" w:after="240"/>
        <w:rPr>
          <w:lang w:val="el" w:eastAsia="el"/>
        </w:rPr>
      </w:pPr>
      <w:r>
        <w:rPr>
          <w:lang w:val="el" w:eastAsia="el"/>
        </w:rPr>
        <w:t>Τον καθορισμό των Κωδικών Αριθμών Δραστηριότητας που αντιστοιχούν σε άσκηση εμπορικής δραστηριότητας, προκειμένου τα φυσικά πρόσωπα που κάνουν έναρξη εργασιών στη Δ.Ο.Υ. να εγγράφονται αυτόματα στο Γ.Ε.ΜΗ.</w:t>
      </w:r>
    </w:p>
    <w:p>
      <w:pPr>
        <w:pStyle w:val="PreambelText"/>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Φυσικά πρόσωπα που ασκούν εμπορική δραστηριότητα και υποχρεώσεις αυτών</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Εμπορική δραστηριότητα ασκούν όλα τα φυσικά πρόσωπα τα οποία με εγκατάσταση στην ημεδαπή και σκοπό το κέρδος:</w:t>
      </w:r>
    </w:p>
    <w:p>
      <w:pPr>
        <w:spacing w:before="240" w:after="240"/>
        <w:rPr>
          <w:lang w:val="el" w:eastAsia="el"/>
        </w:rPr>
      </w:pPr>
      <w:r>
        <w:rPr>
          <w:lang w:val="el" w:eastAsia="el"/>
        </w:rPr>
        <w:t>α. διενεργούν εμπορικές πράξεις στο όνομά τους κατά σύνηθες επάγγελμα ή</w:t>
      </w:r>
    </w:p>
    <w:p>
      <w:pPr>
        <w:spacing w:before="240" w:after="240"/>
        <w:rPr>
          <w:lang w:val="el" w:eastAsia="el"/>
        </w:rPr>
      </w:pPr>
      <w:r>
        <w:rPr>
          <w:lang w:val="el" w:eastAsia="el"/>
        </w:rPr>
        <w:t>β. διαθέτουν αγαθά ή υπηρεσίες ή διαμεσολαβούν στη διάθεση αυτών με επιχειρηματικό κίνδυνο, μέσω οργανωμένης υποδομής ή/και εκμετάλλευσης της εργασίας τρίτων προσώπων.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Τα φυσικά πρόσωπα που ασκούν εμπορική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εγγράφονται υποχρεωτικά στο Γ.Ε.ΜΗ.,</w:t>
      </w:r>
    </w:p>
    <w:p>
      <w:pPr>
        <w:pStyle w:val="StructureList1"/>
        <w:spacing w:before="120" w:after="0"/>
        <w:rPr>
          <w:lang w:val="el" w:eastAsia="el"/>
        </w:rPr>
      </w:pPr>
      <w:r>
        <w:rPr>
          <w:lang w:val="el" w:eastAsia="el"/>
        </w:rPr>
        <w:t>β)</w:t>
      </w:r>
      <w:r>
        <w:rPr>
          <w:lang w:val="en" w:eastAsia="en"/>
        </w:rPr>
        <w:tab/>
      </w:r>
      <w:r>
        <w:rPr>
          <w:lang w:val="el" w:eastAsia="el"/>
        </w:rPr>
        <w:t>καταχωρίζουν και δημοσιεύουν στο Γ.Ε.ΜΗ. τις πράξεις και τα στοιχεία που προβλέπονται στο άρθρο 33 του ν. 4919/2022 και</w:t>
      </w:r>
    </w:p>
    <w:p>
      <w:pPr>
        <w:pStyle w:val="StructureList1"/>
        <w:spacing w:before="120" w:after="0"/>
        <w:rPr>
          <w:lang w:val="el" w:eastAsia="el"/>
        </w:rPr>
      </w:pPr>
      <w:r>
        <w:rPr>
          <w:lang w:val="el" w:eastAsia="el"/>
        </w:rPr>
        <w:t>γ)</w:t>
      </w:r>
      <w:r>
        <w:rPr>
          <w:lang w:val="en" w:eastAsia="en"/>
        </w:rPr>
        <w:tab/>
      </w:r>
      <w:r>
        <w:rPr>
          <w:lang w:val="el" w:eastAsia="el"/>
        </w:rPr>
        <w:t>καταβάλουν τα τέλη που προβλέπονται στο άρθρο 49 του ίδιου νόμου.</w:t>
      </w:r>
    </w:p>
    <w:p>
      <w:pPr>
        <w:pStyle w:val="MainText"/>
        <w:spacing w:before="120" w:after="0"/>
        <w:rPr>
          <w:lang w:val="el" w:eastAsia="el"/>
        </w:rPr>
      </w:pPr>
      <w:r>
        <w:rPr>
          <w:b/>
          <w:bCs/>
          <w:lang w:val="el" w:eastAsia="el"/>
        </w:rPr>
        <w:t>2.</w:t>
      </w:r>
      <w:r>
        <w:rPr>
          <w:lang w:val="el" w:eastAsia="el"/>
        </w:rPr>
        <w:t xml:space="preserve"> Για την καταχώριση και δημοσίευση πράξης ή στοιχείου ατομικής επιχείρησης με εμπορική δραστηριότητα στο Γ.Ε.ΜΗ. γίνεται χρήση των κωδικών πρόσβασης που λαμβάνονται ταυτόχρονα με την ολοκλήρωση της έναρξης δραστηριότητας.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Κωδικοί Αριθμοί Δραστηριότητας (Κ.Α.Δ.) που αντιστοιχούν σε εμπορική δραστηριότητα</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Οι Κ.Α.Δ. που αντιστοιχούν σε άσκηση εμπορικής δραστηριότητας, δυνάμει της ΠΟΛ.1133/2008 (Β’ 2149), περιλαμβάνονται στο Παράρτημα της παρούσας. Ο εμπορικός χαρακτήρας των Κ.Α.Δ. του Παραρτήματος προκύπτει από τις κείμενες διατάξεις του εταιρικού δικαίου, τη θεωρία και την κρατούσα νομολογία σχετικά με τον ορισμό των εννοιών του εμπόρου και των εμπορικών πράξεων.</w:t>
      </w:r>
    </w:p>
    <w:p>
      <w:pPr>
        <w:spacing w:before="240" w:after="240"/>
        <w:rPr>
          <w:lang w:val="el" w:eastAsia="el"/>
        </w:rPr>
      </w:pPr>
      <w:r>
        <w:rPr>
          <w:lang w:val="el" w:eastAsia="el"/>
        </w:rPr>
        <w:t>Εμπορική δραστηριότητα ασκούν τα φυσικά πρόσωπα εφόσον η κύρια ή η δευτερεύουσα δραστηριότητά τους ή του υποκαταστήματός τους αντιστοιχεί σε Κ.Α.Δ. του Παραρτήματος.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Διαλειτουργικότητα Πληροφοριακού Συστήματος Γ.Ε.ΜΗ. με βάση δεδομένων των Κ.Α.Δ. της Ανεξάρτητης Αρχής Δημοσίων Εσόδων (Α.Α.Δ.Ε.)</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Το πληροφοριακό σύστημα του Γ.Ε.ΜΗ. διαλειτουργεί με τη βάση δεδομένων των Κ.Α.Δ. της Ανεξάρτητης Αρχής Δημοσίων Εσόδων (Α.Α.Δ.Ε.) και με την έναρξη δραστηριότητας ενός φυσικού προσώπου που ασκεί εμπορική δραστηριότητα, λαμβάνει αυτόματα αρ. ΓΕΜΗ και εγγράφεται στο Γενικό Εμπορικό Μητρώο.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Μεταβατικές διατάξεις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Έως την υλοποίηση της διαλειτουργικότητας του άρθρου 3, τα φυσικά πρόσωπα που έχουν κάνει έναρξη εμπορικής δραστηριότητας στη Δ.Ο.Υ. και δεν έχουν λάβει αριθμό Γ.Ε.ΜΗ., η διαδικασία εγγραφής τους στο Γ.Ε.ΜΗ. θα πραγματοποιείται σε τακτά διαστήματα, ηλεκτρονικά, μέσω της ανταλλαγής πράξεων και στοιχείων με το αντίστοιχο μητρώο της Α.Α.Δ.Ε. Σε κάθε περίπτωση, ο υπόχρεος εγγραφής δύναται να αιτείται την εγγραφή του στο Γ.Ε.ΜΗ.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παρούσα τίθεται σε ισχύ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Απριλίου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96618/ 2022 13.10.2022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96618/ 2022 13.10.2022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96618/ 2022 13.10.2022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96618/ 2022 13.10.2022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96618/ 2022 13.10.2022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