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w:t>
      </w:r>
    </w:p>
    <w:p>
      <w:pPr>
        <w:spacing w:before="240" w:after="240"/>
        <w:rPr>
          <w:lang w:val="el" w:eastAsia="el"/>
        </w:rPr>
      </w:pPr>
      <w:r>
        <w:rPr>
          <w:b/>
          <w:bCs/>
          <w:lang w:val="el" w:eastAsia="el"/>
        </w:rPr>
        <w:t>ΔΙΑΔΙΚΑΣΙΩΝ ΤΜΗΜΑ Α΄</w:t>
      </w:r>
    </w:p>
    <w:p>
      <w:pPr>
        <w:spacing w:before="240" w:after="240"/>
        <w:rPr>
          <w:lang w:val="el" w:eastAsia="el"/>
        </w:rPr>
      </w:pPr>
      <w:r>
        <w:rPr>
          <w:lang w:val="el" w:eastAsia="el"/>
        </w:rPr>
        <w:t xml:space="preserve">2.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B΄</w:t>
      </w:r>
    </w:p>
    <w:p>
      <w:pPr>
        <w:spacing w:before="240" w:after="240"/>
        <w:rPr>
          <w:lang w:val="el" w:eastAsia="el"/>
        </w:rPr>
      </w:pPr>
      <w:r>
        <w:rPr>
          <w:b/>
          <w:bCs/>
          <w:lang w:val="el" w:eastAsia="el"/>
        </w:rPr>
        <w:t>Καρ. Σερβίας 8</w:t>
      </w:r>
    </w:p>
    <w:p>
      <w:pPr>
        <w:spacing w:before="240" w:after="240"/>
        <w:rPr>
          <w:lang w:val="el" w:eastAsia="el"/>
        </w:rPr>
      </w:pPr>
      <w:r>
        <w:rPr>
          <w:b/>
          <w:bCs/>
          <w:lang w:val="el" w:eastAsia="el"/>
        </w:rPr>
        <w:t>10184 Αθήνα 2103375360, 878</w:t>
      </w:r>
    </w:p>
    <w:p>
      <w:pPr>
        <w:spacing w:before="240" w:after="240"/>
        <w:rPr>
          <w:lang w:val="el" w:eastAsia="el"/>
        </w:rPr>
      </w:pP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A. 1278/2019 απόφασης Διοικητή ΑΑΔΕ (Β΄3007 και Β΄ 3129) - Χορήγηση εκπτώσεων, μειώσεων στον Ενιαίο Φόρο Ιδιοκτησίας Ακινήτων (ΕΝ.Φ.Ι.Α.).</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 έως 8 του ν. 4223/2013 (Α΄ 287), περί Ενιαίου Φόρου Ιδιοκτησίας Ακινήτων (ΕΝ.Φ.Ι.Α.) και ειδικότερα τις διατάξεις της παραγράφου 7 του άρθρου 7, β) του ν. 4174/2013 (Α΄ 170) και ειδικότερα των άρθρων 4, 5, 19, 23, 32, 34, 37 και 63, γ) του ν. 4172/2013 (Α΄ 167),</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w:t>
      </w:r>
    </w:p>
    <w:p>
      <w:pPr>
        <w:pStyle w:val="StructureList1"/>
        <w:spacing w:before="120" w:after="0"/>
        <w:rPr>
          <w:lang w:val="el" w:eastAsia="el"/>
        </w:rPr>
      </w:pPr>
      <w:r>
        <w:rPr>
          <w:lang w:val="el" w:eastAsia="el"/>
        </w:rPr>
        <w:t>ε)</w:t>
      </w:r>
      <w:r>
        <w:rPr>
          <w:lang w:val="en" w:eastAsia="en"/>
        </w:rPr>
        <w:tab/>
      </w:r>
      <w:r>
        <w:rPr>
          <w:b/>
          <w:bCs/>
          <w:lang w:val="el" w:eastAsia="el"/>
        </w:rPr>
        <w:t>του άρθρου 23 του ν. 3427/2005 «Φόρος προστιθέμενης αξίας στις νέες οικοδομές, μεταβολές στη φορολογία κεφαλαίου και άλλες διατάξεις» (Α΄ 312), στ) 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ζ)</w:t>
      </w:r>
      <w:r>
        <w:rPr>
          <w:lang w:val="en" w:eastAsia="en"/>
        </w:rPr>
        <w:tab/>
      </w:r>
      <w:r>
        <w:rPr>
          <w:b/>
          <w:bCs/>
          <w:lang w:val="el" w:eastAsia="el"/>
        </w:rPr>
        <w:t>της A. 1278/2019 απόφασης Διοικητή ΑΑΔΕ (Β΄3007 και Β΄ 3129) «Τροποποίηση, συμπλήρωση και κωδικοποίηση της ΠΟΛ 1212/2015 απόφασης Γ.Γ.Δ.Ε. (Β΄ 2120) - Χορήγηση εκπτώσεων, μειώσεων και αναστολής πληρωμής στον Ενιαίο Φόρο Ιδιοκτησίας Ακινήτων (ΕΝ.Φ.Ι.Α.)».</w:t>
      </w:r>
    </w:p>
    <w:p>
      <w:pPr>
        <w:spacing w:before="240" w:after="240"/>
        <w:rPr>
          <w:lang w:val="el" w:eastAsia="el"/>
        </w:rPr>
      </w:pPr>
      <w:r>
        <w:rPr>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την υπ’ αρ. 39/3/30-11-2017 απόφαση του Συμβουλίου Διοίκησης της Α.Α.Δ.Ε. «Ανανέωση της θητείας του Διοικητή της Α.Α.Δ.Ε.» (Υ.Ο.Δ.Δ. 689)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3. </w:t>
      </w:r>
      <w:r>
        <w:rPr>
          <w:b/>
          <w:bCs/>
          <w:lang w:val="el" w:eastAsia="el"/>
        </w:rPr>
        <w:t>Την ανάγκη μηχανογραφικής διαχείρισης των δηλώσεων ΕΝ.Φ.Ι.Α. μετά τις τροποποιήσεις της σχετικής νομοθεσίας.</w:t>
      </w:r>
    </w:p>
    <w:p>
      <w:pPr>
        <w:spacing w:before="240" w:after="240"/>
        <w:rPr>
          <w:lang w:val="el" w:eastAsia="el"/>
        </w:rPr>
      </w:pPr>
      <w:r>
        <w:rPr>
          <w:lang w:val="el" w:eastAsia="el"/>
        </w:rPr>
        <w:t xml:space="preserve">4. </w:t>
      </w:r>
      <w:r>
        <w:rPr>
          <w:b/>
          <w:bCs/>
          <w:lang w:val="el" w:eastAsia="el"/>
        </w:rPr>
        <w:t>Το γεγονός ότι με την παρούσα απόφαση δεν προκαλείται δαπάνη στον Προϋπολογισμό της Ανεξάρτητης Αρχής Δημοσίων Εσόδων.</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Το άρθρο 2 της Α 1278/2019 απόφασης Διοικητή ΑΑΔΕ αντικαθίσταται ως εξής:</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Προϋποθέσεις χορήγησης έκπτωσης</w:t>
      </w:r>
    </w:p>
    <w:p>
      <w:pPr>
        <w:spacing w:before="240" w:after="240"/>
        <w:rPr>
          <w:lang w:val="el" w:eastAsia="el"/>
        </w:rPr>
      </w:pPr>
      <w:r>
        <w:rPr>
          <w:lang w:val="el" w:eastAsia="el"/>
        </w:rPr>
        <w:t xml:space="preserve">1. </w:t>
      </w:r>
      <w:r>
        <w:rPr>
          <w:b/>
          <w:bCs/>
          <w:lang w:val="el" w:eastAsia="el"/>
        </w:rPr>
        <w:t>Ως συνολικό φορολογητέο οικογενειακό εισόδημα θεωρείται το άθροισμα του συνολικού φορολογητέου εισοδήματος του συζύγου, της συζύγου ή συμβιούντος και των εξαρτώμενων τέκνων, σε όσες περιπτώσεις ορίζεται από το νόμο ότι τα εισοδήματα των τέκνων συναθροίζονται με αυτά των γονέων, καθώς και του συνολικού φορολογητέου εισοδήματος των εξαρτώμενων τέκνων που έχουν υποβάλει ατομική δήλωση φορολογίας εισοδήματος.</w:t>
      </w:r>
    </w:p>
    <w:p>
      <w:pPr>
        <w:spacing w:before="240" w:after="240"/>
        <w:rPr>
          <w:lang w:val="el" w:eastAsia="el"/>
        </w:rPr>
      </w:pPr>
      <w:r>
        <w:rPr>
          <w:b/>
          <w:bCs/>
          <w:lang w:val="el" w:eastAsia="el"/>
        </w:rPr>
        <w:t>Το συνολικό φορολογητέο οικογενειακό εισόδημα, οι σχέσεις συζύγου ή συμβιούντος και ο αριθμός των εξαρτώμενων τέκνων λαμβάνονται από την εμπρόθεσμη δήλωση φορολογίας εισοδήματος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Αν οι σύζυγοι ή συμβιούντες υποβάλλουν χωριστή δήλωση, λαμβάνεται ο μεγαλύτερος αριθμός τέκνων που έχει δηλωθεί σε μία εκ των δύο δηλώσεων.</w:t>
      </w:r>
    </w:p>
    <w:p>
      <w:pPr>
        <w:spacing w:before="240" w:after="240"/>
        <w:rPr>
          <w:lang w:val="el" w:eastAsia="el"/>
        </w:rPr>
      </w:pPr>
      <w:r>
        <w:rPr>
          <w:b/>
          <w:bCs/>
          <w:lang w:val="el" w:eastAsia="el"/>
        </w:rPr>
        <w:t>Το συνολικό φορολογητέο εισόδημα προσδιορίζεται από το άθροισμα του καθαρού εισοδήματος, όπως προκύπτει από τα ποσά των κωδικών του Πίνακα 4 της δήλωσης ή δηλώσεων φορολογίας εισοδήματος του τελευταίου φορολογικού έτους, για το οποίο έχει λήξει κατά τον χρόνο φορολογίας η προθεσμία υποβολής των δηλώσεων</w:t>
      </w:r>
    </w:p>
    <w:p>
      <w:pPr>
        <w:spacing w:before="240" w:after="240"/>
        <w:rPr>
          <w:lang w:val="el" w:eastAsia="el"/>
        </w:rPr>
      </w:pPr>
      <w:r>
        <w:rPr>
          <w:b/>
          <w:bCs/>
          <w:lang w:val="el" w:eastAsia="el"/>
        </w:rPr>
        <w:t>φορολογίας εισοδήματος, σύμφωνα με τις διατάξεις του ν. 4172/2013 και κάθε άλλη συναφή κείμενη διάταξη, τα οποία λαμβάνονται υπόψη για τον προσδιορισμό του εισοδήματος, των ποσών των κωδικών των περιπτώσεων 2, 3, 4, 5, 6, 9, 10, 11, 12 και 19 του Πίνακα 6 της δήλωσης και του ποσού της προστιθέμενης διαφοράς αντικειμενικής δαπάνης, όπου αυτή εφαρμόζεται.</w:t>
      </w:r>
    </w:p>
    <w:p>
      <w:pPr>
        <w:spacing w:before="240" w:after="240"/>
        <w:rPr>
          <w:lang w:val="el" w:eastAsia="el"/>
        </w:rPr>
      </w:pPr>
      <w:r>
        <w:rPr>
          <w:b/>
          <w:bCs/>
          <w:lang w:val="el" w:eastAsia="el"/>
        </w:rPr>
        <w:t>Δεν λαμβάνεται υπόψη το εισόδημα αποβιώσαντα πριν την 1η Ιανουαρίου του έτους φορολογίας.</w:t>
      </w:r>
    </w:p>
    <w:p>
      <w:pPr>
        <w:spacing w:before="240" w:after="240"/>
        <w:rPr>
          <w:lang w:val="el" w:eastAsia="el"/>
        </w:rPr>
      </w:pPr>
      <w:r>
        <w:rPr>
          <w:lang w:val="el" w:eastAsia="el"/>
        </w:rPr>
        <w:t xml:space="preserve">2. </w:t>
      </w:r>
      <w:r>
        <w:rPr>
          <w:b/>
          <w:bCs/>
          <w:lang w:val="el" w:eastAsia="el"/>
        </w:rPr>
        <w:t>Η συνολική επιφάνεια των κτισμάτων, των προσώπων της ανωτέρω παραγράφου αποτελούμενη από το άθροισμα των κύριων και βοηθητικών χώρων των κατηγοριών ακινήτων 1 έως και 12 (εκτός 4, 41 έως και 47), αποπερατωμένων και ημιτελών, καθώς και η συνολική αξία της ακίνητης περιουσίας, όπως αυτή προσδιορίζεται για τον υπολογισμό της Ενότητας Ε του άρθρου 4 του ν. 4223/2013, λαμβάνεται από τις δηλώσεις ΕΝ.Φ.Ι.Α. του οικείου έτους, οι οποίες έχουν υποβληθεί εμπρόθεσμα, λαμβανομένου υπόψη του ποσοστού συνιδιοκτησίας και του είδους του δικαιώματος επί των ακινήτων.</w:t>
      </w:r>
    </w:p>
    <w:p>
      <w:pPr>
        <w:spacing w:before="240" w:after="240"/>
        <w:rPr>
          <w:lang w:val="el" w:eastAsia="el"/>
        </w:rPr>
      </w:pPr>
      <w:r>
        <w:rPr>
          <w:lang w:val="el" w:eastAsia="el"/>
        </w:rPr>
        <w:t xml:space="preserve">3. </w:t>
      </w:r>
      <w:r>
        <w:rPr>
          <w:b/>
          <w:bCs/>
          <w:lang w:val="el" w:eastAsia="el"/>
        </w:rPr>
        <w:t>Η αναπηρία του υπόχρεου και της συζύγου ή συμβιούντος λαμβάνεται από τη δήλωση ή τις δηλώσεις φορολογίας εισοδήματος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ή από τα αρχεία των αρμόδιων για την πιστοποίηση της αναπηρίας υπηρεσιών ή την Εφαρμογή των Δ.Ο.Υ. «Καταχώρηση Αναπηριών». Η αναπηρία των τέκνων λαμβάνεται από την Εφαρμογή των Δ.Ο.Υ. «Καταχώρηση Αναπηριών» ή από τα αρχεία των αρμόδιων για την πιστοποίηση της αναπηρίας υπηρεσιών ή, εφόσον το τέκνο υποβάλλει δήλωση φορολογίας εισοδήματος, από τη δήλωση φορολογίας εισοδήματος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Η αναπηρία πρέπει να υφίσταται κατά την 1η Ιανουαρίου του έτους φορολογίας.</w:t>
      </w:r>
    </w:p>
    <w:p>
      <w:pPr>
        <w:spacing w:before="240" w:after="240"/>
        <w:rPr>
          <w:lang w:val="el" w:eastAsia="el"/>
        </w:rPr>
      </w:pPr>
      <w:r>
        <w:rPr>
          <w:b/>
          <w:bCs/>
          <w:lang w:val="el" w:eastAsia="el"/>
        </w:rPr>
        <w:t>Στις περιπτώσεις κατά τις οποίες η μείωση χορηγείται με υπόδειγμα από τη Δ.Ο.Υ., απαιτείται, πριν τη χορήγηση της έκπτωσης, η καταχώρηση της πληροφορίας για την αναπηρία στην εφαρμογή «Καταχώρηση Αναπηριών» των Δ.Ο.Υ..</w:t>
      </w:r>
    </w:p>
    <w:p>
      <w:pPr>
        <w:spacing w:before="240" w:after="240"/>
        <w:rPr>
          <w:lang w:val="el" w:eastAsia="el"/>
        </w:rPr>
      </w:pPr>
      <w:r>
        <w:rPr>
          <w:b/>
          <w:bCs/>
          <w:lang w:val="el" w:eastAsia="el"/>
        </w:rPr>
        <w:t>Για την πιστοποίηση της αναπηρίας εφαρμόζονται τα ισχύοντα στη φορολογία εισοδήματος.</w:t>
      </w:r>
    </w:p>
    <w:p>
      <w:pPr>
        <w:spacing w:before="240" w:after="240"/>
        <w:rPr>
          <w:lang w:val="el" w:eastAsia="el"/>
        </w:rPr>
      </w:pPr>
      <w:r>
        <w:rPr>
          <w:lang w:val="el" w:eastAsia="el"/>
        </w:rPr>
        <w:t xml:space="preserve">4. </w:t>
      </w:r>
      <w:r>
        <w:rPr>
          <w:b/>
          <w:bCs/>
          <w:lang w:val="el" w:eastAsia="el"/>
        </w:rPr>
        <w:t>Για τη χορήγηση της έκπτωσης ή μείωσης κατά τα ανωτέρω ο φορολογούμενος, ο ή η σύζυγος και τα εξαρτώμενα τέκνα της οικογένειάς του πρέπει να είναι φορολογικοί κάτοικοι Ελλάδας την 1η Ιανουαρίου του έτους φορολογίας.»</w:t>
      </w:r>
    </w:p>
    <w:p>
      <w:pPr>
        <w:spacing w:before="240" w:after="240"/>
        <w:rPr>
          <w:lang w:val="el" w:eastAsia="el"/>
        </w:rPr>
      </w:pPr>
      <w:r>
        <w:rPr>
          <w:lang w:val="el" w:eastAsia="el"/>
        </w:rPr>
        <w:t xml:space="preserve">2. </w:t>
      </w:r>
      <w:r>
        <w:rPr>
          <w:b/>
          <w:bCs/>
          <w:lang w:val="el" w:eastAsia="el"/>
        </w:rPr>
        <w:t>Η απόφαση αυτή ισχύει για τον ΕΝ.Φ.Ι.Α. έτους 2022 και επομένων.</w:t>
      </w:r>
    </w:p>
    <w:p>
      <w:pPr>
        <w:spacing w:before="240" w:after="240"/>
        <w:rPr>
          <w:lang w:val="el" w:eastAsia="el"/>
        </w:rPr>
      </w:pPr>
      <w:r>
        <w:rPr>
          <w:lang w:val="el" w:eastAsia="el"/>
        </w:rPr>
        <w:t xml:space="preserve">3. </w:t>
      </w: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ΑΡΧΗΣΔΗΜΟΣΙΩΝ ΕΣΟΔΩΝΓΕΩΡΓΙΟΣ ΠΙΤΣΙΛΗΣ</w:t>
      </w:r>
    </w:p>
    <w:p>
      <w:pPr>
        <w:spacing w:before="240" w:after="240"/>
        <w:rPr>
          <w:lang w:val="el" w:eastAsia="el"/>
        </w:rPr>
      </w:pPr>
      <w:r>
        <w:rPr>
          <w:b/>
          <w:bCs/>
          <w:u w:val="single"/>
          <w:lang w:val="el" w:eastAsia="el"/>
        </w:rPr>
        <w:t xml:space="preserve">ΠΙΝΑΚΑΣ ΑΠΟΔΕΚΤΩΝ Ι.ΑΠΟΔΕΚΤΕΣ ΓΙΑ ΑΜΕΣΗ ΕΝΕΡΓΕΙΑ </w:t>
      </w:r>
      <w:r>
        <w:rPr>
          <w:b/>
          <w:bCs/>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 (περίπτωση 6)</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5)</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 7)</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ΓΔΦΔ</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