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71713 ΕΞ 2022</w:t>
      </w:r>
    </w:p>
    <w:p>
      <w:pPr>
        <w:pStyle w:val="PreambelText"/>
        <w:spacing w:before="240" w:after="240"/>
        <w:rPr>
          <w:lang w:val="el" w:eastAsia="el"/>
        </w:rPr>
      </w:pPr>
      <w:r>
        <w:rPr>
          <w:b/>
          <w:bCs/>
          <w:lang w:val="el" w:eastAsia="el"/>
        </w:rPr>
        <w:t>Καθορισμός επιχορήγησης των πληγέντων από τις πλημμύρες της 20ης έως 26ης Νοεμβρίου 2019 σε περιοχές του Δήμου Θάσου της Περιφερειακής Ενότητας Θάσου και των Δήμων Καβάλας και Παγγαίου της Περιφερειακής Ενότητας Καβάλας της Περιφέρειας Ανατολικής Μακεδονίας και Θράκης.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w:t>
      </w:r>
    </w:p>
    <w:p>
      <w:pPr>
        <w:pStyle w:val="PreambelText"/>
        <w:spacing w:before="240" w:after="240"/>
        <w:rPr>
          <w:lang w:val="el" w:eastAsia="el"/>
        </w:rPr>
      </w:pPr>
      <w:r>
        <w:rPr>
          <w:lang w:val="el" w:eastAsia="el"/>
        </w:rPr>
        <w:t>2. Το Κεφ. ΙΑ «Ψηφιακή Διαφάνεια - Πρόγραμμα Διαύγεια» του ν.4727/2020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Το άρθρο 13 του ν.4622/2019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5. Τον ν. 3852/2010 «Νέα Αρχιτεκτονική της Αυτοδιοίκησης και της Αποκεντρωμένης Διοίκησης -Πρόγραμμα Καλλικράτης» (Α’ 87) και ιδίως του άρθρου 160.</w:t>
      </w:r>
    </w:p>
    <w:p>
      <w:pPr>
        <w:pStyle w:val="PreambelText"/>
        <w:spacing w:before="240" w:after="240"/>
        <w:rPr>
          <w:lang w:val="el" w:eastAsia="el"/>
        </w:rPr>
      </w:pPr>
      <w:r>
        <w:rPr>
          <w:lang w:val="el" w:eastAsia="el"/>
        </w:rPr>
        <w:t>6. Το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(ΑΔΑ: 68ΦΓΗ-ΧΟΨ) απόφαση του Υπουργού και του Υφυπουργού Οικονομικών με θέμα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 2021/ 10-09-2021 (ΑΔΑ: 654ΩΗ-ΔΧ0) (Β’ 4203) και 147036 ΕΞ 2021/22-11-2021 (ΑΔΑ: Ψ9Ρ2Η-8ΨΙ) (Β’ 5424) αποφάσεις του Υπουργού Οικονομικών.</w:t>
      </w:r>
    </w:p>
    <w:p>
      <w:pPr>
        <w:pStyle w:val="PreambelText"/>
        <w:spacing w:before="240" w:after="240"/>
        <w:rPr>
          <w:lang w:val="el" w:eastAsia="el"/>
        </w:rPr>
      </w:pPr>
      <w:r>
        <w:rPr>
          <w:lang w:val="el" w:eastAsia="el"/>
        </w:rPr>
        <w:t>12. Την υπ’ αρ. 1009/07-01-2022 απόφαση του Γενικού Γραμματέα Δημοσίων Επενδύσεων - ΕΣΠΑ του Υπουργείου Ανάπτυξης και Επενδύσεων. (ΑΔΑ: 6ΦΘΕ46ΜΤΛΡ-Χ57).</w:t>
      </w:r>
    </w:p>
    <w:p>
      <w:pPr>
        <w:pStyle w:val="PreambelText"/>
        <w:spacing w:before="240" w:after="240"/>
        <w:rPr>
          <w:lang w:val="el" w:eastAsia="el"/>
        </w:rPr>
      </w:pPr>
      <w:r>
        <w:rPr>
          <w:lang w:val="el" w:eastAsia="el"/>
        </w:rPr>
        <w:t>13. Την υπό στοιχεία Δ.Α.Ε.Φ.Κ.-Κ.Ε./2168/Α325/ 16-4-2020 κοινή απόφαση των Υπουργών Εσωτερικών -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τις πλημμύρες: α) της 20ης έως 26ης Νοεμβρίου 2019 σε περιοχές του Δήμου Θάσου της Περιφερειακής Ενότητας Θάσου και των Δήμων Καβάλας και Παγγαίου της Περιφερειακής Ενότητας Καβάλας της Περιφέρειας Ανατολικής Μακεδονίας και Θράκης, β) της 19ης έως 22ας Νοεμβρίου 2019 σε περιοχές των Δήμων Νέας Προποντίδας και Αριστοτέλη της Περιφερειακής Ενότητας Χαλκιδικής της Περιφέρειας Κεντρικής Μακεδονίας, γ) της 24ης έως 26ης Νοεμβρίου 2019 σε περιοχές του Δήμου Κατερίνης της Περιφερειακής Ενότητας Πιερίας της Περιφέρειας Κεντρικής Μακεδονίας, δ) της 11ης και 12ης Δεκεμβρίου 2019 σε περιοχές του Δήμου Σιθωνίας της Περιφερειακής Ενότητας Χαλκιδικής της Περιφέρειας Κεντρικής Μακεδονίας και ε) της 10ης έως 14ης Δεκεμβρίου 2019 σε περιοχές του Δήμου Κασσάνδρας της Περιφερειακής Ενότητας Χαλκιδικής της Περιφέρειας Κεντρικής Μακεδονίας» (Β’ 1653).</w:t>
      </w:r>
    </w:p>
    <w:p>
      <w:pPr>
        <w:pStyle w:val="PreambelText"/>
        <w:spacing w:before="240" w:after="240"/>
        <w:rPr>
          <w:lang w:val="el" w:eastAsia="el"/>
        </w:rPr>
      </w:pPr>
      <w:r>
        <w:rPr>
          <w:lang w:val="el" w:eastAsia="el"/>
        </w:rPr>
        <w:t>14.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ορισμό της «Επιχείρησης» σύμφωνα με το άρθρο 1 του Παραρτήματος Ι του Κανονισμού (ΕΕ) 651/2014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15. Η υπό στοιχεία 111822 ΕΞ 2021/14-9-2021 (ΑΔΑ:ΨΦΛΘΗ-ΖΦ7) εγκύκλιος «Παροχή διευκρινίσεων για την εφαρμογή του ν. 4797/2021» (Α’ 66).</w:t>
      </w:r>
    </w:p>
    <w:p>
      <w:pPr>
        <w:pStyle w:val="PreambelText"/>
        <w:spacing w:before="240" w:after="240"/>
        <w:rPr>
          <w:lang w:val="el" w:eastAsia="el"/>
        </w:rPr>
      </w:pPr>
      <w:r>
        <w:rPr>
          <w:lang w:val="el" w:eastAsia="el"/>
        </w:rPr>
        <w:t>16. Τα υπ’ αρ. 1429/23-9-2020 και 45770/313/ 15-2-2022 έγγραφα του Τμήματος Πολιτικής Προστασίας της Αυτοτελούς Διεύθυνσης Πολιτικής Προστασίας της Περιφέρειας Ανατολικής Μακεδονίας - Θράκης.</w:t>
      </w:r>
    </w:p>
    <w:p>
      <w:pPr>
        <w:pStyle w:val="PreambelText"/>
        <w:spacing w:before="240" w:after="240"/>
        <w:rPr>
          <w:lang w:val="el" w:eastAsia="el"/>
        </w:rPr>
      </w:pPr>
      <w:r>
        <w:rPr>
          <w:lang w:val="el" w:eastAsia="el"/>
        </w:rPr>
        <w:t>17. Το υπό στοιχεία 66029 ΕΞ 2022/16-5-2022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Την ανάγκη υποστήριξης των επιχειρήσεων που είναι εγκατεστημένες και λειτουργούν σε περιοχές του Δήμου Θάσου, της Περιφερειακής Ενότητας Θάσου και των Δήμων Καβάλας και Παγγαίου της Περιφερειακής Ενότητας Καβάλας της Περιφέρειας Ανατολικής Μακεδονίας και Θράκης και επλήγησαν από τις πλημμύρες της 20ής έως 26ης Νοεμβρίου 2019.</w:t>
      </w:r>
    </w:p>
    <w:p>
      <w:pPr>
        <w:pStyle w:val="PreambelText"/>
        <w:spacing w:before="240" w:after="240"/>
        <w:rPr>
          <w:lang w:val="el" w:eastAsia="el"/>
        </w:rPr>
      </w:pPr>
      <w:r>
        <w:rPr>
          <w:lang w:val="el" w:eastAsia="el"/>
        </w:rPr>
        <w:t>19. Την υπό στοιχεία 69944 ΕΞ 2022/23-5-2022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133.074,53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H ανωτέρω δαπάνη, εμπίπτει στις διατάξεις του Κανονισμού (ΕΕ) αριθ. 651/2014,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της 20ής έως 26ης Νοεμβρίου 2019 σε περιοχές του Δήμου Θάσου, της Περιφερειακής Ενότητας Θάσου και των Δήμων Καβάλας και Παγγαίου της Περιφερειακής Ενότητας Καβάλας της Περιφέρειας Ανατολικής Μακεδονίας και Θράκης, οι οποίες έχουν οριοθετηθεί με την υπό στοιχεία Δ.Α.Ε.Φ.Κ.- Κ.Ε./2168/Α325/16-4-2020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 7, 22 και 24 του νόμου αυτού και του Κανονισμού (ΕΕ) αρ. 651/2014.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τα υπό στοιχείο 16 έγγραφα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χορήγησής της, κατά τα προβλεπόμενα στην υποπαράγραφο Β11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 68ΦΓΗ-ΧΟΨ) απόφασης του Υπουργού και του Υφυπουργού Οικονομικών (Β’ 2670), όπως τροποποιήθηκε με τις υπό στοιχεία 110065 ΕΞ 2021/10-09-2021 (ΑΔΑ: 654ΩΗ-ΔΧ0) (Β’ 4203) και 147036 ΕΞ 2021/22-11-2021 (ΑΔΑ: Ψ9Ρ2Η-8ΨΙ) (Β’ 5424) αποφάσεις του Υπουργού Οικονομικών,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(ΑΔΑ:68ΦΓΗ-ΧΟΨ) απόφασης του Υπουργού και του Υφυπουργού Οικονομικών (Β’ 2670), σε ηλεκτρονική μορφή. Η Γ.Δ.Ο.Υ. προβαίνει σε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 ΕΞ 2021/23-06-2021 (ΑΔΑ: 68ΦΓΗ-ΧΟΨ) απόφαση του Υπουργού και του Υφυπουργού Οικονομικών (Β’ 2670), όπως τροποποιήθηκε με τις υπό στοιχεία 110065 ΕΞ 2021/10-09-2021 (ΑΔΑ: 654ΩΗ-ΔΧ0) (Β’ 4203) και 147036 ΕΞ 2021/22-11-2021 (ΑΔΑ: Ψ9Ρ2Η- 8ΨΙ) (Β’ 5424) αποφάσεις του 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Μαΐου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