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 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 183 46 Μοσχάτο</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4802282, 4802648, 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Α.1038/14.3.2022 απόφασης του</w:t>
      </w:r>
    </w:p>
    <w:p>
      <w:pPr>
        <w:spacing w:before="240" w:after="240"/>
        <w:rPr>
          <w:lang w:val="el" w:eastAsia="el"/>
        </w:rPr>
      </w:pPr>
      <w:r>
        <w:rPr>
          <w:b/>
          <w:bCs/>
          <w:lang w:val="el" w:eastAsia="el"/>
        </w:rPr>
        <w:t>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 3 και 4 του άρθρου 14 του ν.4174/2013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15Α του ν.4174/2013 «Φορολογικές διαδικασίες και άλλες διατάξεις» (Α’ 170), γ) 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w:t>
      </w:r>
    </w:p>
    <w:p>
      <w:pPr>
        <w:spacing w:before="240" w:after="240"/>
        <w:rPr>
          <w:lang w:val="el" w:eastAsia="el"/>
        </w:rPr>
      </w:pPr>
      <w:r>
        <w:rPr>
          <w:b/>
          <w:bCs/>
          <w:lang w:val="el" w:eastAsia="el"/>
        </w:rPr>
        <w:t>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Την υπό στοιχεία Α.1038/14.3.2022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w:t>
      </w:r>
    </w:p>
    <w:p>
      <w:pPr>
        <w:spacing w:before="240" w:after="240"/>
        <w:rPr>
          <w:lang w:val="el" w:eastAsia="el"/>
        </w:rPr>
      </w:pPr>
      <w:r>
        <w:rPr>
          <w:b/>
          <w:bCs/>
          <w:lang w:val="el" w:eastAsia="el"/>
        </w:rPr>
        <w:t xml:space="preserve">4.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υπό στοιχεία 5294 ΕΞ 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5. </w:t>
      </w:r>
      <w:r>
        <w:rPr>
          <w:b/>
          <w:bCs/>
          <w:lang w:val="el" w:eastAsia="el"/>
        </w:rPr>
        <w:t>Την ανάγκη παροχής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για το ημερολογιακό έτος 2021.</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Α.1038/14.3.2022 Απόφαση του Διοικητή της ΑΑΔΕ «Τρόπος υποβολής καταστάσεων φορολογικών στοιχείων, για διασταύρωση πληροφοριών της παρ. 3 του άρθρου 14 του ν.4174/2013, για τα έτη 2021 και επόμενα (Α΄170)» (Β΄1475), ως ακολούθως:</w:t>
      </w:r>
    </w:p>
    <w:p>
      <w:pPr>
        <w:spacing w:before="240" w:after="240"/>
        <w:rPr>
          <w:lang w:val="el" w:eastAsia="el"/>
        </w:rPr>
      </w:pPr>
      <w:r>
        <w:rPr>
          <w:b/>
          <w:bCs/>
          <w:lang w:val="el" w:eastAsia="el"/>
        </w:rPr>
        <w:t xml:space="preserve">1. </w:t>
      </w:r>
      <w:r>
        <w:rPr>
          <w:b/>
          <w:bCs/>
          <w:lang w:val="el" w:eastAsia="el"/>
        </w:rPr>
        <w:t>Το όγδοο εδάφιο της παρ. 1 αντικαθίσταται ως εξής: «Η διαβίβαση των ανωτέρω δεδομένων, θεωρείται δήλωση πληροφοριακού χαρακτήρα για το ημερολογιακό έτος 2021 και ως καταληκτική ημερομηνία διαβίβασης αυτών, ορίζεται η 15.6.2022.».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Γ.Δ.Φ.Δ.</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