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 ΑΝΑΡΤΗΤΕΑ ΣΤΟ ΑΔΑ: 6ΥΦΓ46ΜΠ3</w:t>
      </w:r>
    </w:p>
    <w:p>
      <w:pPr>
        <w:pStyle w:val="Title"/>
        <w:spacing w:before="120" w:after="360"/>
        <w:rPr>
          <w:lang w:val="el" w:eastAsia="el"/>
        </w:rPr>
      </w:pPr>
      <w:r>
        <w:rPr>
          <w:b/>
          <w:bCs/>
          <w:lang w:val="el" w:eastAsia="el"/>
        </w:rPr>
        <w:t>Αριθ.ΦΕΚ: Β’ 274</w:t>
      </w:r>
    </w:p>
    <w:p>
      <w:pPr>
        <w:pStyle w:val="PreambelText"/>
        <w:spacing w:before="240" w:after="240"/>
        <w:rPr>
          <w:lang w:val="el" w:eastAsia="el"/>
        </w:rPr>
      </w:pPr>
      <w:r>
        <w:rPr>
          <w:b/>
          <w:bCs/>
          <w:lang w:val="el" w:eastAsia="el"/>
        </w:rPr>
        <w:t>ΔΙΕΥΘΥΝΣΗ ΕΠΙΧΕΙΡΗΣΙΑΚΩΝ</w:t>
      </w:r>
    </w:p>
    <w:p>
      <w:pPr>
        <w:pStyle w:val="PreambelText"/>
        <w:spacing w:before="240" w:after="240"/>
        <w:rPr>
          <w:lang w:val="el" w:eastAsia="el"/>
        </w:rPr>
      </w:pPr>
      <w:r>
        <w:rPr>
          <w:b/>
          <w:bCs/>
          <w:lang w:val="el" w:eastAsia="el"/>
        </w:rPr>
        <w:t>ΔΙΑΔΙΚΑΣΙΩΝ-ΤΜΗΜΑ Α’</w:t>
      </w:r>
    </w:p>
    <w:p>
      <w:pPr>
        <w:pStyle w:val="PreambelText"/>
        <w:spacing w:before="240" w:after="240"/>
        <w:rPr>
          <w:lang w:val="el" w:eastAsia="el"/>
        </w:rPr>
      </w:pPr>
      <w:r>
        <w:rPr>
          <w:b/>
          <w:bCs/>
          <w:lang w:val="el" w:eastAsia="el"/>
        </w:rPr>
        <w:t>ΔΙΕΥΘΥΝΣΗ ΑΝΑΠΤΥΞΗΣ ΦΟΡΟΛΟΓΙΚΩΝ ΕΦΑΡΜΟΓΩΝ-ΤΜΗΜΑ Α’</w:t>
      </w:r>
    </w:p>
    <w:p>
      <w:pPr>
        <w:pStyle w:val="PreambelText"/>
        <w:spacing w:before="240" w:after="240"/>
        <w:rPr>
          <w:lang w:val="el" w:eastAsia="el"/>
        </w:rPr>
      </w:pPr>
      <w:r>
        <w:rPr>
          <w:b/>
          <w:bCs/>
          <w:lang w:val="el" w:eastAsia="el"/>
        </w:rPr>
        <w:t>ΔΙΕΥΘΥΝΣΗ ΣΤΡΑΤΗΓΙΚΗΣ ΤΕΧΝΟΛΟΓΙΩΝ ΠΛΗΡΟΦΟΡΙΚΗΣ-ΤΜΗΜΑ Δ’</w:t>
      </w:r>
    </w:p>
    <w:p>
      <w:pPr>
        <w:pStyle w:val="PreambelText"/>
        <w:spacing w:before="240" w:after="240"/>
        <w:rPr>
          <w:lang w:val="el" w:eastAsia="el"/>
        </w:rPr>
      </w:pPr>
      <w:r>
        <w:rPr>
          <w:b/>
          <w:bCs/>
          <w:lang w:val="el" w:eastAsia="el"/>
        </w:rPr>
        <w:t>Θέμα: « Τροποποίηση της υπό στοιχεία Α.1275/31.12.2021 απόφασης του Διοικητή της Ανεξάρτητης Αρχής Δημοσίων Εσόδων (ΑΑΔΕ) «Τύπος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2021» (Β΄6375).</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6 του ν. 4174/13 «Φορολογικές Διαδικασίες και άλλες διατάξεις» (Α΄170)</w:t>
      </w:r>
      <w:r>
        <w:rPr>
          <w:b/>
          <w:bCs/>
          <w:i/>
          <w:iCs/>
          <w:lang w:val="el" w:eastAsia="el"/>
        </w:rPr>
        <w:t>.</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των παρ. 3 και 4 του άρθρου 15 και των παρ. 1 και 2 του άρθρου 54 του ν. 4174/2013 «Φορολογικές Διαδικασίες και άλλες διατάξεις» (Α΄170), της παρ. 4 του άρθρου 8 και των άρθρων 3, 12, 13, 14, 15, 21, 29, 36, 37, 38, 43Α, 45, 59, 60, 61, 62, 63, 64, 67 και 68 του ν. 4172/2013 «Φορολογία εισοδήματος, επείγοντα μέτρα εφαρμογής του ν. 4046/2012, του ν. 4093/2012 και του ν. 4127/2013 και άλλες διατάξεις.» (Α΄167)</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ΠΟΛ 1051/19.2.2015 (Β’ 373) απόφασης ΓΓΔΕ, της υπό στοιχεία ΠΟΛ 1274/30.12.2015 (Β’ 2919) απόφασης Αναπληρωτή ΓΓΔΕ και των υπό στοιχεία ΠΟΛ 1025/21.2.2017 (Β’ 618), ΠΟΛ 1045/7.3.2018 (Β’ 881), Α.1009/2019 (Β’ 21), Α.1025/2020 (Β’ 406) και Α. 1035/2021 (Β’ 797) αποφάσεων Διοικητή ΑΑΔΕ,</w:t>
      </w:r>
    </w:p>
    <w:p>
      <w:pPr>
        <w:pStyle w:val="StructureList1"/>
        <w:spacing w:before="120" w:after="0"/>
        <w:rPr>
          <w:lang w:val="el" w:eastAsia="el"/>
        </w:rPr>
      </w:pPr>
      <w:r>
        <w:rPr>
          <w:lang w:val="el" w:eastAsia="el"/>
        </w:rPr>
        <w:t>ε)</w:t>
      </w:r>
      <w:r>
        <w:rPr>
          <w:lang w:val="en" w:eastAsia="en"/>
        </w:rPr>
        <w:tab/>
      </w:r>
      <w:r>
        <w:rPr>
          <w:b/>
          <w:bCs/>
          <w:lang w:val="el" w:eastAsia="el"/>
        </w:rPr>
        <w:t>των υπό στοιχεία ΠΟΛ.1088/2015 (Β' 763), ΠΟΛ.1132/2015 (Β' 1407), ΠΟΛ.1041/2016 (Β' 926), ΠΟΛ.1096/2016 (Β' 2043) αποφάσεων Γ.Γ.Δ.Ε. και των υπό στοιχεία ΠΟΛ.1034/2017 (Β' 759), ΠΟΛ.1068/2018 (Β' 1319), Α.1041/2019 (Β' 353), Α.1070/2020 (Β' 1267) και Α. 1118/2021 (Β’ 2226) αποφάσεων Διοικητή ΑΑΔΕ, στ) της υπό στοιχεία ΠΟΛ. 1033/2014 (Β’ 276) απόφασης Γ.Γ.Δ.Ε., ζ) των υπό στοιχεία Α.1099/2019 (Β' 949), Α.1100/2019 (Β' 951),Α.1101/2019 (Β' 948) και Α. 1204/2020 (Β’ 3972) αποφάσεων Διοικητή ΑΑΔΕ,</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 xml:space="preserve">3. </w:t>
      </w:r>
      <w:r>
        <w:rPr>
          <w:b/>
          <w:bCs/>
          <w:lang w:val="el" w:eastAsia="el"/>
        </w:rPr>
        <w:t>Την υπό στοιχεία Α.1275/2021 Απόφαση του Διοικητή της ΑΑΔΕ «Τύπος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2021» (Β΄ 6375)</w:t>
      </w:r>
    </w:p>
    <w:p>
      <w:pPr>
        <w:pStyle w:val="PreambelText"/>
        <w:spacing w:before="240" w:after="240"/>
        <w:rPr>
          <w:lang w:val="el" w:eastAsia="el"/>
        </w:rPr>
      </w:pPr>
      <w:r>
        <w:rPr>
          <w:lang w:val="el" w:eastAsia="el"/>
        </w:rPr>
        <w:t xml:space="preserve">4.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 αρ.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5. </w:t>
      </w:r>
      <w:r>
        <w:rPr>
          <w:b/>
          <w:bCs/>
          <w:lang w:val="el" w:eastAsia="el"/>
        </w:rPr>
        <w:t>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αποδοχών από μισθωτές υπηρεσίες, στις βεβαιώσεις αμοιβών από επιχειρηματική δραστηριότητα και στις βεβαιώσεις εισοδημάτων από μερίσματα, τόκους, δικαιώματα από τους καταβάλλοντες τα παραπάνω εισοδήματα.</w:t>
      </w:r>
    </w:p>
    <w:p>
      <w:pPr>
        <w:pStyle w:val="PreambelText"/>
        <w:spacing w:before="240" w:after="240"/>
        <w:rPr>
          <w:lang w:val="el" w:eastAsia="el"/>
        </w:rPr>
      </w:pPr>
      <w:r>
        <w:rPr>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ΑΠΟΦΑΣΙΖΟΥΜΕΆρθρο 1</w:t>
      </w:r>
    </w:p>
    <w:p>
      <w:pPr>
        <w:pStyle w:val="PreambelText"/>
        <w:spacing w:before="240" w:after="240"/>
        <w:rPr>
          <w:lang w:val="el" w:eastAsia="el"/>
        </w:rPr>
      </w:pPr>
      <w:r>
        <w:rPr>
          <w:b/>
          <w:bCs/>
          <w:lang w:val="el" w:eastAsia="el"/>
        </w:rPr>
        <w:t>Τροποποιούμε την υπό στοιχεία Α.1275/31.12.2021 απόφαση «Τύπος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2021» (Β΄6375), ως ακολούθως:</w:t>
      </w:r>
    </w:p>
    <w:p>
      <w:pPr>
        <w:pStyle w:val="PreambelText"/>
        <w:spacing w:before="240" w:after="240"/>
        <w:rPr>
          <w:lang w:val="el" w:eastAsia="el"/>
        </w:rPr>
      </w:pPr>
      <w:r>
        <w:rPr>
          <w:b/>
          <w:bCs/>
          <w:lang w:val="el" w:eastAsia="el"/>
        </w:rPr>
        <w:t>Μετά το στοιχείο iv της περίπτωσης γ) της παραγράφου 10 του άρθρου 5 της Α.1275/2021 προστίθεται νέο στοιχείο v, ως εξής:</w:t>
      </w:r>
    </w:p>
    <w:p>
      <w:pPr>
        <w:pStyle w:val="PreambelText"/>
        <w:spacing w:before="240" w:after="240"/>
        <w:rPr>
          <w:lang w:val="el" w:eastAsia="el"/>
        </w:rPr>
      </w:pPr>
      <w:r>
        <w:rPr>
          <w:b/>
          <w:bCs/>
          <w:lang w:val="el" w:eastAsia="el"/>
        </w:rPr>
        <w:t>«v. τον ΟΤΕ Α.Ε. για το σύνολο των κωδικών εισοδημάτων από μερίσματα, τόκους και δικαιώματα του Παραρτήματος 3 της παρούσας»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Ισχύς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πινάκων Η’, Θ’ (εκτός του Εθνικού Τυπογραφείου) - ΚΓ΄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3. </w:t>
      </w:r>
      <w:r>
        <w:rPr>
          <w:b/>
          <w:bCs/>
          <w:lang w:val="el" w:eastAsia="el"/>
        </w:rPr>
        <w:t>Διεύθυνση Επιχειρησιακών Διαδικασιών</w:t>
      </w:r>
    </w:p>
    <w:p>
      <w:pPr>
        <w:spacing w:before="240" w:after="240"/>
        <w:rPr>
          <w:lang w:val="el" w:eastAsia="el"/>
        </w:rPr>
      </w:pPr>
      <w:r>
        <w:rPr>
          <w:lang w:val="el" w:eastAsia="el"/>
        </w:rPr>
        <w:t xml:space="preserve">4. </w:t>
      </w:r>
      <w:r>
        <w:rPr>
          <w:b/>
          <w:bCs/>
          <w:lang w:val="el" w:eastAsia="el"/>
        </w:rPr>
        <w:t>Διεύθυνση Ανάπτυξης Φορολογικών Εφαρμογών</w:t>
      </w:r>
    </w:p>
    <w:p>
      <w:pPr>
        <w:spacing w:before="240" w:after="240"/>
        <w:rPr>
          <w:lang w:val="el" w:eastAsia="el"/>
        </w:rPr>
      </w:pPr>
      <w:r>
        <w:rPr>
          <w:lang w:val="el" w:eastAsia="el"/>
        </w:rPr>
        <w:t xml:space="preserve">5.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6. </w:t>
      </w:r>
      <w:r>
        <w:rPr>
          <w:b/>
          <w:bCs/>
          <w:lang w:val="el" w:eastAsia="el"/>
        </w:rPr>
        <w:t xml:space="preserve">ΟΤΕ Α.Ε. </w:t>
      </w:r>
      <w:hyperlink r:id="rId4" w:history="1">
        <w:r>
          <w:rPr>
            <w:rStyle w:val="Hyperlink"/>
            <w:b/>
            <w:bCs/>
            <w:color w:val="0000EE"/>
            <w:u w:color="0000EE"/>
            <w:lang w:val="el" w:eastAsia="el"/>
          </w:rPr>
          <w:t>(</w:t>
        </w:r>
        <w:r>
          <w:rPr>
            <w:rStyle w:val="Hyperlink"/>
            <w:b/>
            <w:bCs/>
            <w:color w:val="0000EE"/>
            <w:u w:color="0000EE"/>
            <w:lang w:val="el" w:eastAsia="el"/>
          </w:rPr>
          <w:t>taxdpt@ ote.gr</w:t>
        </w:r>
        <w:r>
          <w:rPr>
            <w:rStyle w:val="Hyperlink"/>
            <w:b/>
            <w:bCs/>
            <w:color w:val="0000EE"/>
            <w:u w:color="0000EE"/>
            <w:lang w:val="el" w:eastAsia="el"/>
          </w:rPr>
          <w:t>)</w:t>
        </w:r>
      </w:hyperlink>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w:t>
      </w:r>
    </w:p>
    <w:p>
      <w:pPr>
        <w:spacing w:before="240" w:after="240"/>
        <w:rPr>
          <w:lang w:val="el" w:eastAsia="el"/>
        </w:rPr>
      </w:pPr>
      <w:r>
        <w:rPr>
          <w:lang w:val="el" w:eastAsia="el"/>
        </w:rPr>
        <w:t xml:space="preserve">2. </w:t>
      </w:r>
      <w:r>
        <w:rPr>
          <w:b/>
          <w:bCs/>
          <w:lang w:val="el" w:eastAsia="el"/>
        </w:rPr>
        <w:t>Γραφείο κ. Υφυπουργού</w:t>
      </w:r>
    </w:p>
    <w:p>
      <w:pPr>
        <w:spacing w:before="240" w:after="240"/>
        <w:rPr>
          <w:lang w:val="el" w:eastAsia="el"/>
        </w:rPr>
      </w:pPr>
      <w:r>
        <w:rPr>
          <w:lang w:val="el" w:eastAsia="el"/>
        </w:rPr>
        <w:t xml:space="preserve">3. </w:t>
      </w:r>
      <w:r>
        <w:rPr>
          <w:b/>
          <w:bCs/>
          <w:lang w:val="el" w:eastAsia="el"/>
        </w:rPr>
        <w:t>Γραφείο κ.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Κεντρική Υπηρεσία ΣΔΟΕ και τις Περιφερειακές Διευθύνσεις της</w:t>
      </w:r>
    </w:p>
    <w:p>
      <w:pPr>
        <w:spacing w:before="240" w:after="240"/>
        <w:rPr>
          <w:lang w:val="el" w:eastAsia="el"/>
        </w:rPr>
      </w:pPr>
      <w:r>
        <w:rPr>
          <w:lang w:val="el" w:eastAsia="el"/>
        </w:rPr>
        <w:t xml:space="preserve">5. </w:t>
      </w:r>
      <w:r>
        <w:rPr>
          <w:b/>
          <w:bCs/>
          <w:lang w:val="el" w:eastAsia="el"/>
        </w:rPr>
        <w:t>ΠΕΡΙΟΔΙΚΟ «ΦΟΡΟΛΟΓΙΚΗ ΕΠΙΘΕΩΡΗΣΗ»</w:t>
      </w:r>
    </w:p>
    <w:p>
      <w:pPr>
        <w:spacing w:before="240" w:after="240"/>
        <w:rPr>
          <w:lang w:val="el" w:eastAsia="el"/>
        </w:rPr>
      </w:pPr>
      <w:r>
        <w:rPr>
          <w:lang w:val="el" w:eastAsia="el"/>
        </w:rPr>
        <w:t xml:space="preserve">6. </w:t>
      </w:r>
      <w:r>
        <w:rPr>
          <w:b/>
          <w:bCs/>
          <w:lang w:val="el" w:eastAsia="el"/>
        </w:rPr>
        <w:t>Πίνακες Α’ (εκτός στοιχείων με α/α 2, 3, 4) Β’, Γ’, Δ’ (εκτός των Αυτοτέλων Τοπικών Τελωνειακών Γραφείων), Ε’, ΣΤ’, Ζ’</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Γενικών Δ/ντών</w:t>
      </w:r>
    </w:p>
    <w:p>
      <w:pPr>
        <w:spacing w:before="240" w:after="240"/>
        <w:rPr>
          <w:lang w:val="el" w:eastAsia="el"/>
        </w:rPr>
      </w:pPr>
      <w:r>
        <w:rPr>
          <w:lang w:val="el" w:eastAsia="el"/>
        </w:rPr>
        <w:t xml:space="preserve">3. </w:t>
      </w:r>
      <w:r>
        <w:rPr>
          <w:b/>
          <w:bCs/>
          <w:lang w:val="el" w:eastAsia="el"/>
        </w:rPr>
        <w:t>Δ/νση Εφαρμογής Άμεσης Φορολογίας - Τμήματα Α΄ - Β΄ - Γ΄</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axdpt@ot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