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75244 ΕΞ 2022</w:t>
      </w:r>
    </w:p>
    <w:p>
      <w:pPr>
        <w:pStyle w:val="PreambelText"/>
        <w:spacing w:before="240" w:after="240"/>
        <w:rPr>
          <w:lang w:val="el" w:eastAsia="el"/>
        </w:rPr>
      </w:pPr>
      <w:r>
        <w:rPr>
          <w:b/>
          <w:bCs/>
          <w:lang w:val="el" w:eastAsia="el"/>
        </w:rPr>
        <w:t>Διαδικασία υποβολής εκδήλωσης ενδιαφέροντος για τη χορήγηση ενίσχυσης με τη μορφή επιχορήγησης σε επιχειρήσεις που επλήγησαν οικονομικά λόγω της εμφάνισης και διάδοσης της νόσου του κορωνοϊού COVID-19 και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σελ.1) και ιδίως το άρθρο 3 αυτού.</w:t>
      </w:r>
    </w:p>
    <w:p>
      <w:pPr>
        <w:pStyle w:val="PreambelText"/>
        <w:spacing w:before="240" w:after="240"/>
        <w:rPr>
          <w:lang w:val="el" w:eastAsia="el"/>
        </w:rPr>
      </w:pPr>
      <w:r>
        <w:rPr>
          <w:lang w:val="el" w:eastAsia="el"/>
        </w:rPr>
        <w:t>4.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 4046/2012, ν. 4093/2012 και ν. 4172/2013» (Α’ 107).</w:t>
      </w:r>
    </w:p>
    <w:p>
      <w:pPr>
        <w:pStyle w:val="PreambelText"/>
        <w:spacing w:before="240" w:after="240"/>
        <w:rPr>
          <w:lang w:val="el" w:eastAsia="el"/>
        </w:rPr>
      </w:pPr>
      <w:r>
        <w:rPr>
          <w:lang w:val="el" w:eastAsia="el"/>
        </w:rPr>
        <w:t>7. Το ν.δ. 356/1974 Κ.Ε.Δ.Ε. (Α’ 90).</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16.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21.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22. Την υπ’ αρ. 109/12.03.2019 πράξη του Διοικητή της Τράπεζας της Ελλάδος.</w:t>
      </w:r>
    </w:p>
    <w:p>
      <w:pPr>
        <w:pStyle w:val="PreambelText"/>
        <w:spacing w:before="240" w:after="240"/>
        <w:rPr>
          <w:lang w:val="el" w:eastAsia="el"/>
        </w:rPr>
      </w:pPr>
      <w:r>
        <w:rPr>
          <w:lang w:val="el" w:eastAsia="el"/>
        </w:rPr>
        <w:t>23. Το υπ’ αρ. 305/07.04.2022 έγγραφο του Οργανισμού Ελληνικών Γεωργικών Ασφαλίσεων.</w:t>
      </w:r>
    </w:p>
    <w:p>
      <w:pPr>
        <w:pStyle w:val="PreambelText"/>
        <w:spacing w:before="240" w:after="240"/>
        <w:rPr>
          <w:lang w:val="el" w:eastAsia="el"/>
        </w:rPr>
      </w:pPr>
      <w:r>
        <w:rPr>
          <w:lang w:val="el" w:eastAsia="el"/>
        </w:rPr>
        <w:t>24.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τους παγετούς που εκδηλώθηκαν την περίοδο 15 Φεβρουαρίου έως 20 Απριλίου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w:t>
      </w:r>
    </w:p>
    <w:p>
      <w:pPr>
        <w:pStyle w:val="PreambelText"/>
        <w:spacing w:before="240" w:after="240"/>
        <w:rPr>
          <w:lang w:val="el" w:eastAsia="el"/>
        </w:rPr>
      </w:pPr>
      <w:r>
        <w:rPr>
          <w:lang w:val="el" w:eastAsia="el"/>
        </w:rPr>
        <w:t>25. Την από 31.05.2022 εισήγηση του Διοικητή της Ανεξάρτητης Αρχής Δημοσίων Εσόδων.</w:t>
      </w:r>
    </w:p>
    <w:p>
      <w:pPr>
        <w:pStyle w:val="PreambelText"/>
        <w:spacing w:before="240" w:after="240"/>
        <w:rPr>
          <w:lang w:val="el" w:eastAsia="el"/>
        </w:rPr>
      </w:pPr>
      <w:r>
        <w:rPr>
          <w:lang w:val="el" w:eastAsia="el"/>
        </w:rPr>
        <w:t>26. Την από 29.03.2022 εισήγηση της Κυβερνητικής Επιτροπής Κρατικής Αρωγής.</w:t>
      </w:r>
    </w:p>
    <w:p>
      <w:pPr>
        <w:pStyle w:val="PreambelText"/>
        <w:spacing w:before="240" w:after="240"/>
        <w:rPr>
          <w:lang w:val="el" w:eastAsia="el"/>
        </w:rPr>
      </w:pPr>
      <w:r>
        <w:rPr>
          <w:lang w:val="el" w:eastAsia="el"/>
        </w:rPr>
        <w:t>27. Την υπό στοιχεία 2/123834/ΔΠΓΚ/30.05.2022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28.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επιχορήγησης για επιχειρήσεις που επλήγησαν οικονομικά λόγω της εμφάνισης και διάδοσης της νόσου του κορωνοϊού COVID-19 (COVID-19)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και έχουν υποστεί μεγάλες οικονομικές απώλειες οι οποίες επιτάθηκαν από τους παγετούς που εκδηλώθηκαν την περίοδο 15 Φεβρουαρίου έως 20 Απριλίου 2021, υποβάλλεται εκδήλωση ενδιαφέροντος.</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ιδιωτικές επιχειρήσεις κάθε νομικής μορφής, συμπεριλαμβανομένων των ατομικών, οι οποίες είναι υποκείμενες σε ΦΠΑ κατά την 31η Δεκεμβρίου 2021, οι οποίες 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και λειτουργούν νομίμως,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Απριλίου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Οκτωβρίου 2020, οι οποίες πληρούν σωρευτικά τα κριτήρια της επόμενης παραγράφου, καθώς και την προϋπόθεση της παραγράφου 4.</w:t>
      </w:r>
    </w:p>
    <w:p>
      <w:pPr>
        <w:pStyle w:val="MainText"/>
        <w:spacing w:before="120" w:after="0"/>
        <w:rPr>
          <w:lang w:val="el" w:eastAsia="el"/>
        </w:rPr>
      </w:pPr>
      <w:r>
        <w:rPr>
          <w:b/>
          <w:bCs/>
          <w:lang w:val="el" w:eastAsia="el"/>
        </w:rPr>
        <w:t>3.</w:t>
      </w:r>
      <w:r>
        <w:rPr>
          <w:lang w:val="el" w:eastAsia="el"/>
        </w:rPr>
        <w:t xml:space="preserve"> Εκδήλωση ενδιαφέροντος δύναται να υποβάλλουν οι επιχειρήσεις της προηγούμενης παραγράφου εφόσον πληρούν σωρευτικά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λειτουργούσαν νομίμως κατά την 1η Απριλίου 2021 και έχουν πληγεί οικονομικά λόγω της εμφάνισης και διάδοσης του COVID-19.</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Αριθμό Δραστηριότητας (ΚΑΔ) κατά την 31η Δεκεμβρίου 2021 έναν από τους περιγραφόμενους στο Παράρτημα Ι, το οποίο και αποτελεί αναπόσπαστο μέρος της παρούσας, ή των οποίων τα ακαθάριστα έσοδα ενεργού κατά την 31η Δεκεμβρίου 2021 ΚΑΔ δευτερεύουσας δραστηριότητας από τους περιγραφόμενους στο Παράρτημα I, όπως αυτά προκύπτουν από την κατάσταση οικονομικών στοιχείων από επιχειρηματική δραστηριότητα («έντυπο Ε3») για το φορολογικό έτος 2021, είναι μεγαλύτερα από τα ακαθάριστα έσοδα που αντιστοιχούν στον κύριο ΚΑΔ κατά την 31η Δεκεμβρίου 2021.</w:t>
      </w:r>
    </w:p>
    <w:p>
      <w:pPr>
        <w:pStyle w:val="StructureList1"/>
        <w:spacing w:before="120" w:after="0"/>
        <w:rPr>
          <w:lang w:val="el" w:eastAsia="el"/>
        </w:rPr>
      </w:pPr>
      <w:r>
        <w:rPr>
          <w:lang w:val="el" w:eastAsia="el"/>
        </w:rPr>
        <w:t>γ)</w:t>
      </w:r>
      <w:r>
        <w:rPr>
          <w:lang w:val="en" w:eastAsia="en"/>
        </w:rPr>
        <w:tab/>
      </w:r>
      <w:r>
        <w:rPr>
          <w:lang w:val="el" w:eastAsia="el"/>
        </w:rPr>
        <w:t>Έχουν παραλάβει ή μεταφέρει πυρηνόκαρπα και γιγαρτόκαρπα αγροτικά προϊόντα κατά το έτος 2020 σε ποσοστό μεγαλύτερο του 30% του συνόλου των παραλαβών ή μεταφορών τους και στην περίπτωση επιχειρήσεων υλικών συσκευασίας ότι έχουν πωλήσει υλικά συσκευασίας που προορίζονται για συσκευασία πυρηνόκαρπων και γιγαρτόκαρπων σε ποσοστό μεγαλύτερο του 30% του συνόλου των πωλήσεων υλικών συσκευασίας τους.</w:t>
      </w:r>
    </w:p>
    <w:p>
      <w:pPr>
        <w:pStyle w:val="StructureList1"/>
        <w:spacing w:before="120" w:after="0"/>
        <w:rPr>
          <w:lang w:val="el" w:eastAsia="el"/>
        </w:rPr>
      </w:pPr>
      <w:r>
        <w:rPr>
          <w:lang w:val="el" w:eastAsia="el"/>
        </w:rPr>
        <w:t>δ)</w:t>
      </w:r>
      <w:r>
        <w:rPr>
          <w:lang w:val="en" w:eastAsia="en"/>
        </w:rPr>
        <w:tab/>
      </w:r>
      <w:r>
        <w:rPr>
          <w:lang w:val="el" w:eastAsia="el"/>
        </w:rPr>
        <w:t>Απασχολούσαν κατά την 1η Απριλίου 2021 τουλάχιστον δύο (2) άτομα σε καθεστώς πλήρους απασχόλησης, σύμφωνα με το σύστημα «ΕΡΓΑΝΗ».</w:t>
      </w:r>
    </w:p>
    <w:p>
      <w:pPr>
        <w:pStyle w:val="StructureList1"/>
        <w:spacing w:before="120" w:after="0"/>
        <w:rPr>
          <w:lang w:val="el" w:eastAsia="el"/>
        </w:rPr>
      </w:pPr>
      <w:r>
        <w:rPr>
          <w:lang w:val="el" w:eastAsia="el"/>
        </w:rPr>
        <w:t>ε)</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τη δήλωση φορολογίας εισοδήματος για τα φορολογικά έτη 2018, 2019, 2020 έως την προηγούμενη μέρα από την έναρξη ισχύος της παρούσας,</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w:t>
      </w:r>
    </w:p>
    <w:p>
      <w:pPr>
        <w:pStyle w:val="StructureList1"/>
        <w:spacing w:before="120" w:after="0"/>
        <w:rPr>
          <w:lang w:val="el" w:eastAsia="el"/>
        </w:rPr>
      </w:pPr>
      <w:r>
        <w:rPr>
          <w:lang w:val="el" w:eastAsia="el"/>
        </w:rPr>
        <w:t>γγ)</w:t>
      </w:r>
      <w:r>
        <w:rPr>
          <w:lang w:val="en" w:eastAsia="en"/>
        </w:rPr>
        <w:tab/>
      </w:r>
      <w:r>
        <w:rPr>
          <w:lang w:val="el" w:eastAsia="el"/>
        </w:rPr>
        <w:t>έχουν υποβάλει όλες τις δηλώσεις ΦΠΑ για την περίοδο από 1η Ιανουαρίου 2018 μέχρι 31η Δεκεμβρίου 2021, έως την προηγούμενη μέρα από την έναρξη ισχύος της παρούσας.</w:t>
      </w:r>
    </w:p>
    <w:p>
      <w:pPr>
        <w:spacing w:before="240" w:after="240"/>
        <w:rPr>
          <w:lang w:val="el" w:eastAsia="el"/>
        </w:rPr>
      </w:pPr>
      <w:r>
        <w:rPr>
          <w:lang w:val="el" w:eastAsia="el"/>
        </w:rPr>
        <w:t>στ)Δεν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ζ)</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υπό στοιχεία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η)</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θ)</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4.</w:t>
      </w:r>
      <w:r>
        <w:rPr>
          <w:lang w:val="el" w:eastAsia="el"/>
        </w:rPr>
        <w:t xml:space="preserve">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2021, εντός της προθεσμίας της παρ. 2 του άρθρου 2 και πριν την υποβολή εκδήλωσης ενδιαφέροντος.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εκδήλωση ενδιαφέροντος για τη χορήγηση της ενίσχυσης στην ηλεκτρονική πλατφόρμα «myBusinessSupport»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Η εκδήλωση ενδιαφέροντος υποβάλλεται από την 6η Ιουνίου 2022 έως και την 15η Ιουνίου 2022.</w:t>
      </w:r>
    </w:p>
    <w:p>
      <w:pPr>
        <w:pStyle w:val="MainText"/>
        <w:spacing w:before="120" w:after="0"/>
        <w:rPr>
          <w:lang w:val="el" w:eastAsia="el"/>
        </w:rPr>
      </w:pPr>
      <w:r>
        <w:rPr>
          <w:b/>
          <w:bCs/>
          <w:lang w:val="el" w:eastAsia="el"/>
        </w:rPr>
        <w:t>3.</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5.</w:t>
      </w:r>
      <w:r>
        <w:rPr>
          <w:lang w:val="el" w:eastAsia="el"/>
        </w:rPr>
        <w:t xml:space="preserve"> Η υποβολή αίτησης εκδήλωσης ενδιαφέροντος κατά τα ανωτέρω δεν δημιουργεί οιοδήποτε δικαίωμα ή αξίωση στις ενδιαφερόμενες επιχειρήσεις.</w:t>
      </w:r>
    </w:p>
    <w:p>
      <w:pPr>
        <w:pStyle w:val="MainText"/>
        <w:spacing w:before="120" w:after="0"/>
        <w:rPr>
          <w:lang w:val="el" w:eastAsia="el"/>
        </w:rPr>
      </w:pPr>
      <w:r>
        <w:rPr>
          <w:b/>
          <w:bCs/>
          <w:lang w:val="el" w:eastAsia="el"/>
        </w:rPr>
        <w:t>6.</w:t>
      </w:r>
      <w:r>
        <w:rPr>
          <w:lang w:val="el" w:eastAsia="el"/>
        </w:rPr>
        <w:t xml:space="preserve"> Οι προϋποθέσεις υπαγωγής στο καθεστώς ενίσχυσης, οι περαιτέρω λεπτομέρειες για τη μορφή της ενίσχυσης, το μέσο, το ύψος, η μεθοδολογία προσδιορισμού και η ένταση της ενίσχυσης,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ΑΑΔΕ υποχρεούται να θέτει στη διάθεση της Διεύθυνσης Κρατικής Αρωγής και της Γενικής Διεύθυνσης Οικονομικών Υπηρεσιών του Υπουργείου Οικονομικών κάθε απαιτούμενη πληροφορία σχετική με την εφαρμογή της παρούσας απόφασης.</w:t>
      </w:r>
    </w:p>
    <w:p>
      <w:pPr>
        <w:spacing w:before="240" w:after="240"/>
        <w:rPr>
          <w:lang w:val="el" w:eastAsia="el"/>
        </w:rPr>
      </w:pPr>
      <w:r>
        <w:rPr>
          <w:lang w:val="el" w:eastAsia="el"/>
        </w:rPr>
        <w:t>ΠΑΡΑΡΤΗΜΑ Ι</w:t>
      </w:r>
    </w:p>
    <w:p>
      <w:pPr>
        <w:spacing w:before="240" w:after="240"/>
        <w:rPr>
          <w:lang w:val="el" w:eastAsia="el"/>
        </w:rPr>
      </w:pPr>
      <w:r>
        <w:rPr>
          <w:lang w:val="el" w:eastAsia="el"/>
        </w:rPr>
        <w:t>Κωδικοί Αριθμοί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μαρμελάδων, ζελέδων και πουρέ και πολτών φρούτων ή καρπών με κέλυφος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κομπόστας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μαρμελάδας, κομπόστας, γλυκών κουταλιού και παρόμοιων ειδών, από φρούτα και άλλους καρπούς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πλαισίων στοιβασίας υλικών (παλετών), κιβωτιοειδών πλαισίων στοιβασίας και άλλων σανίδων μεταφοράς φορτίων,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ξύλινων εμπορευματοκιβωτίων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πτυσσόμενων χαρτοκιβώτιων, κουτιών και κιβωτίων από μη κυματοειδές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κουτιών, θηκών, κιβωτίων και παρόμοιων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ακατέργαστων αγροτικών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οπωροκηπευτικών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επεξεργασμένων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πλαστικών προϊόντων συσκευασίας επαγγελματικής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οδικής μεταφοράς εμπορευμάτων με οχήματα ψυγεία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φορτηγού αυτοκινήτου ψυγείου διεθνών μεταφορών,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αποθήκευσης υπό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προετοιμασίας (συσκευασία, συντήρηση κ.λπ.), προς αποθήκευση αγροτικών προϊόντων</w:t>
            </w:r>
          </w:p>
        </w:tc>
      </w:tr>
    </w:tbl>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Οικονομικών Υπουργός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ΑΠΟΣΤΟΛΟΣ</w:t>
      </w:r>
    </w:p>
    <w:p>
      <w:pPr>
        <w:spacing w:before="240" w:after="240"/>
        <w:rPr>
          <w:lang w:val="el" w:eastAsia="el"/>
        </w:rPr>
      </w:pPr>
      <w:r>
        <w:rPr>
          <w:b/>
          <w:bCs/>
          <w:lang w:val="el" w:eastAsia="el"/>
        </w:rPr>
        <w:t>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w:t>
      </w:r>
    </w:p>
    <w:p>
      <w:pPr>
        <w:spacing w:before="240" w:after="240"/>
        <w:rPr>
          <w:lang w:val="el" w:eastAsia="el"/>
        </w:rPr>
      </w:pPr>
      <w:r>
        <w:rPr>
          <w:b/>
          <w:bCs/>
          <w:lang w:val="el" w:eastAsia="el"/>
        </w:rPr>
        <w:t>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