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 ΔΙΑΔΙΚΤΥ</w:t>
      </w:r>
    </w:p>
    <w:p>
      <w:pPr>
        <w:pStyle w:val="Title"/>
        <w:spacing w:before="120" w:after="360"/>
        <w:rPr>
          <w:lang w:val="el" w:eastAsia="el"/>
        </w:rPr>
      </w:pPr>
      <w:r>
        <w:rPr>
          <w:b/>
          <w:bCs/>
          <w:lang w:val="el" w:eastAsia="el"/>
        </w:rPr>
        <w:t>ΦΕΚ: Β’ 3021/17.6.2022</w:t>
      </w:r>
    </w:p>
    <w:p>
      <w:pPr>
        <w:pStyle w:val="Title"/>
        <w:spacing w:before="120" w:after="360"/>
        <w:rPr>
          <w:lang w:val="el" w:eastAsia="el"/>
        </w:rPr>
      </w:pPr>
      <w:r>
        <w:rPr>
          <w:b/>
          <w:bCs/>
          <w:lang w:val="el" w:eastAsia="el"/>
        </w:rPr>
        <w:t>ΑΔΑ: 9ΚΜΗ46ΜΠ3Ζ-5Γ1</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 xml:space="preserve">Ανεξάρτητη Αρχή </w:t>
      </w:r>
      <w:r>
        <w:rPr>
          <w:b/>
          <w:bCs/>
          <w:lang w:val="el" w:eastAsia="el"/>
        </w:rPr>
        <w:t xml:space="preserve">ΒΜβΒ </w:t>
      </w:r>
      <w:r>
        <w:rPr>
          <w:lang w:val="el" w:eastAsia="el"/>
        </w:rPr>
        <w:t>Δημοσίων Εσόδων)</w:t>
      </w:r>
      <w:r>
        <w:rPr>
          <w:b/>
          <w:bCs/>
          <w:lang w:val="el" w:eastAsia="el"/>
        </w:rPr>
        <w:t>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10184 Αθήνα 210-3375079,149</w:t>
      </w:r>
    </w:p>
    <w:p>
      <w:pPr>
        <w:spacing w:before="240" w:after="240"/>
        <w:rPr>
          <w:lang w:val="el" w:eastAsia="el"/>
        </w:rPr>
      </w:pPr>
      <w:hyperlink r:id="rId4" w:history="1">
        <w:r>
          <w:rPr>
            <w:rStyle w:val="Hyperlink"/>
            <w:b/>
            <w:bCs/>
            <w:color w:val="0000EE"/>
            <w:u w:color="0000EE"/>
            <w:lang w:val="el" w:eastAsia="el"/>
          </w:rPr>
          <w:t>deaf.c@aade.gr</w:t>
        </w:r>
      </w:hyperlink>
    </w:p>
    <w:p>
      <w:pPr>
        <w:spacing w:before="240" w:after="240"/>
        <w:rPr>
          <w:lang w:val="el" w:eastAsia="el"/>
        </w:rPr>
      </w:pPr>
      <w:r>
        <w:rPr>
          <w:lang w:val="el" w:eastAsia="el"/>
        </w:rPr>
        <w:t xml:space="preserve">II. </w:t>
      </w:r>
      <w:r>
        <w:rPr>
          <w:b/>
          <w:bCs/>
          <w:lang w:val="el" w:eastAsia="el"/>
        </w:rPr>
        <w:t>ΓΕΝ. Δ/ΝΣΗ ΗΛΕΚΤΡ. ΔΙΑΚΥΒΕΡΝΗΣΗΣ</w:t>
      </w:r>
    </w:p>
    <w:p>
      <w:pPr>
        <w:spacing w:before="240" w:after="240"/>
        <w:rPr>
          <w:lang w:val="el" w:eastAsia="el"/>
        </w:rPr>
      </w:pPr>
      <w:r>
        <w:rPr>
          <w:b/>
          <w:bCs/>
          <w:lang w:val="el" w:eastAsia="el"/>
        </w:rPr>
        <w:t>Α. ΔΙΕΥΘΥΝΣΗ ΕΠΙΧΕΙΡΙΣΙΑΚΩΝ ΔΙΑΔΙΚΑΣΙΩΝ (ΔΙ.ΕΠΙ.ΔΙ.)</w:t>
      </w:r>
    </w:p>
    <w:p>
      <w:pPr>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Β. ΔΙΕΥΘΥΝΣΗ ΑΝΑΠΤΥΞΗΣ ΦΟΡΟΛΟΓΙΚΩΝ ΕΦΑΡΜΟΓΩΝ (Δ.Α.Φ.Ε.)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6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2131356639,54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gdegov@aade.gr</w:t>
              </w:r>
            </w:hyperlink>
          </w:p>
        </w:tc>
      </w:tr>
    </w:tbl>
    <w:p>
      <w:pPr>
        <w:spacing w:before="240" w:after="240"/>
        <w:rPr>
          <w:lang w:val="el" w:eastAsia="el"/>
        </w:rPr>
      </w:pPr>
      <w:r>
        <w:rPr>
          <w:b/>
          <w:bCs/>
          <w:lang w:val="el" w:eastAsia="el"/>
        </w:rPr>
        <w:t>ΘΕΜΑ: Τύπος και περιεχόμενο της πράξης διοικητικού προσδιορισμού του ελλείμματος της Νέας Οικειοθελούς Παροχής κατά το ΑΡΘΡΟ 7</w:t>
      </w:r>
      <w:r>
        <w:rPr>
          <w:b/>
          <w:bCs/>
          <w:sz w:val="30"/>
          <w:szCs w:val="30"/>
          <w:vertAlign w:val="superscript"/>
          <w:lang w:val="el" w:eastAsia="el"/>
        </w:rPr>
        <w:t>ο</w:t>
      </w:r>
      <w:r>
        <w:rPr>
          <w:b/>
          <w:bCs/>
          <w:lang w:val="el" w:eastAsia="el"/>
        </w:rPr>
        <w:t xml:space="preserve"> του Νέου Συνυποσχετικού, το οποίο κυρώθηκε με το άρθρο 56 του ν. 4607/2019(Α΄65), με βάση τις διατάξεις του άρθρου 56Α του ίδιου νόμου.</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w:t>
      </w:r>
      <w:r>
        <w:rPr>
          <w:b/>
          <w:bCs/>
          <w:sz w:val="30"/>
          <w:szCs w:val="30"/>
          <w:vertAlign w:val="superscript"/>
          <w:lang w:val="el" w:eastAsia="el"/>
        </w:rPr>
        <w:t>ου</w:t>
      </w:r>
      <w:r>
        <w:rPr>
          <w:b/>
          <w:bCs/>
          <w:lang w:val="el" w:eastAsia="el"/>
        </w:rPr>
        <w:t xml:space="preserve"> , 7</w:t>
      </w:r>
      <w:r>
        <w:rPr>
          <w:b/>
          <w:bCs/>
          <w:sz w:val="30"/>
          <w:szCs w:val="30"/>
          <w:vertAlign w:val="superscript"/>
          <w:lang w:val="el" w:eastAsia="el"/>
        </w:rPr>
        <w:t>ου</w:t>
      </w:r>
      <w:r>
        <w:rPr>
          <w:b/>
          <w:bCs/>
          <w:lang w:val="el" w:eastAsia="el"/>
        </w:rPr>
        <w:t xml:space="preserve"> και 8</w:t>
      </w:r>
      <w:r>
        <w:rPr>
          <w:b/>
          <w:bCs/>
          <w:sz w:val="30"/>
          <w:szCs w:val="30"/>
          <w:vertAlign w:val="superscript"/>
          <w:lang w:val="el" w:eastAsia="el"/>
        </w:rPr>
        <w:t>ου</w:t>
      </w:r>
      <w:r>
        <w:rPr>
          <w:b/>
          <w:bCs/>
          <w:lang w:val="el" w:eastAsia="el"/>
        </w:rPr>
        <w:t xml:space="preserve"> του Νέου Συνυποσχετικού του Ελληνικού Δημοσίου με την Ναυτιλιακή Κοινότητα το οποίο κυρώθηκε με το άρθρο 56 του ν. 4607/2019 (Α΄65) και ισχύει από την δημοσίευσή του στην Εφημερίδα της Κυβερνήσεως, ήτοι την 23.4.2019,</w:t>
      </w:r>
    </w:p>
    <w:p>
      <w:pPr>
        <w:pStyle w:val="StructureList1"/>
        <w:spacing w:before="120" w:after="0"/>
        <w:rPr>
          <w:lang w:val="el" w:eastAsia="el"/>
        </w:rPr>
      </w:pPr>
      <w:r>
        <w:rPr>
          <w:lang w:val="el" w:eastAsia="el"/>
        </w:rPr>
        <w:t>β)</w:t>
      </w:r>
      <w:r>
        <w:rPr>
          <w:lang w:val="en" w:eastAsia="en"/>
        </w:rPr>
        <w:tab/>
      </w:r>
      <w:r>
        <w:rPr>
          <w:b/>
          <w:bCs/>
          <w:lang w:val="el" w:eastAsia="el"/>
        </w:rPr>
        <w:t>του άρθρου 56Α του ν. 4607/2019 (Α΄65),</w:t>
      </w:r>
    </w:p>
    <w:p>
      <w:pPr>
        <w:pStyle w:val="StructureList1"/>
        <w:spacing w:before="120" w:after="0"/>
        <w:rPr>
          <w:lang w:val="el" w:eastAsia="el"/>
        </w:rPr>
      </w:pPr>
      <w:r>
        <w:rPr>
          <w:lang w:val="el" w:eastAsia="el"/>
        </w:rPr>
        <w:t>γ)</w:t>
      </w:r>
      <w:r>
        <w:rPr>
          <w:lang w:val="en" w:eastAsia="en"/>
        </w:rPr>
        <w:tab/>
      </w:r>
      <w:r>
        <w:rPr>
          <w:b/>
          <w:bCs/>
          <w:lang w:val="el" w:eastAsia="el"/>
        </w:rPr>
        <w:t>των άρθρων 5, 30, 32 παρ. 2 και 3, 37, 42, 45 και 63Β του Κώδικα Φορολογικής Διαδικασίας (ν. 4174/2013, Α΄170),</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την υπό στοιχεία 5294 ΕΞ 2020/17-1-2020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έκδοσης της πράξης διοικητικού προσδιορισμού του ελλείμματος της Νέας Οικειοθελούς Παροχής του άρθρου 7</w:t>
      </w:r>
      <w:r>
        <w:rPr>
          <w:b/>
          <w:bCs/>
          <w:sz w:val="30"/>
          <w:szCs w:val="30"/>
          <w:vertAlign w:val="superscript"/>
          <w:lang w:val="el" w:eastAsia="el"/>
        </w:rPr>
        <w:t>ου</w:t>
      </w:r>
      <w:r>
        <w:rPr>
          <w:b/>
          <w:bCs/>
          <w:lang w:val="el" w:eastAsia="el"/>
        </w:rPr>
        <w:t xml:space="preserve"> του Νέου Συνυποσχετικού του Ελληνικού Δημοσίου με τη Ναυτιλιακή Κοινότητα, όπως κυρώθηκε με το άρθρο 56 του ν. 4607/2019 (Α΄65) εφαρμόζοντας τα οριζόμενα στο άρθρο 56Α του ίδιου νόμου.</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Ο τύπος και το περιεχόμενο της πράξης διοικητικού προσδιορισμού του ελλείμματος της Νέας Οικειοθελούς Παροχής κατά το ΑΡΘΡΟ 7ο του Νέου Συνυποσχετικού, το οποίο κυρώθηκε με το άρθρο 56 του ν. 4607/2019, με βάση τις διατάξεις του άρθρου 56Α του ίδιου νόμου, έχει, όπως το συνημμένο υπόδειγμα που επισυνάπτεται στην παρούσα το οποίο και αποτελεί αναπόσπαστο μέρος αυτής (Υπόδειγμα Ι).</w:t>
      </w:r>
    </w:p>
    <w:p>
      <w:pPr>
        <w:spacing w:before="240" w:after="240"/>
        <w:rPr>
          <w:lang w:val="el" w:eastAsia="el"/>
        </w:rPr>
      </w:pPr>
      <w:r>
        <w:rPr>
          <w:lang w:val="el" w:eastAsia="el"/>
        </w:rPr>
        <w:t xml:space="preserve">2. </w:t>
      </w:r>
      <w:r>
        <w:rPr>
          <w:b/>
          <w:bCs/>
          <w:lang w:val="el" w:eastAsia="el"/>
        </w:rPr>
        <w:t>Η πράξη διοικητικού προσδιορισμού της παρ. 1 εκδίδεται με βάση τις διατάξεις των παρ. 2 και 3 του άρθρου 32 του ν. 4174/2013 από τη Δ.Ο.Υ. Πλοίων Πειραιά με βάση τις καταστάσεις που λαμβάνει από τη Γενική Διεύθυνση Ηλεκτρονικής Διακυβέρνησης (Γ.Δ.ΗΛΕ.Δ.), για το ύψος του ελλείμματος, όπως αυτό προκύπτει από τις διαπιστώσεις της τριμελούς επιτροπής του 7ου άρθρου του Νέου Συνυποσχετικού.</w:t>
      </w:r>
    </w:p>
    <w:p>
      <w:pPr>
        <w:spacing w:before="240" w:after="240"/>
        <w:rPr>
          <w:lang w:val="el" w:eastAsia="el"/>
        </w:rPr>
      </w:pPr>
      <w:r>
        <w:rPr>
          <w:b/>
          <w:bCs/>
          <w:lang w:val="el" w:eastAsia="el"/>
        </w:rPr>
        <w:t>Το ποσό της εν λόγω παροχής καταβάλλεται εφάπαξ μέσα σε ένα μήνα από την ημερομηνία έκδοσης της πράξης διοικητικού προσδιορισμού και παρακολουθείται με τον ΑΛΕ 1150601001 και το είδος φόρου 1235.</w:t>
      </w:r>
    </w:p>
    <w:p>
      <w:pPr>
        <w:spacing w:before="240" w:after="240"/>
        <w:rPr>
          <w:lang w:val="el" w:eastAsia="el"/>
        </w:rPr>
      </w:pPr>
      <w:r>
        <w:rPr>
          <w:lang w:val="el" w:eastAsia="el"/>
        </w:rPr>
        <w:t xml:space="preserve">3. </w:t>
      </w:r>
      <w:r>
        <w:rPr>
          <w:b/>
          <w:bCs/>
          <w:lang w:val="el" w:eastAsia="el"/>
        </w:rPr>
        <w:t>Οι οφειλές που προκύπτουν από το έλλειμμα της Νέας Οικειοθελούς Παροχής δεν υπάγονται σε ρύθμιση τμηματικής καταβολής.</w:t>
      </w:r>
    </w:p>
    <w:p>
      <w:pPr>
        <w:spacing w:before="240" w:after="240"/>
        <w:rPr>
          <w:lang w:val="el" w:eastAsia="el"/>
        </w:rPr>
      </w:pPr>
      <w:r>
        <w:rPr>
          <w:lang w:val="el" w:eastAsia="el"/>
        </w:rPr>
        <w:t xml:space="preserve">4. </w:t>
      </w:r>
      <w:r>
        <w:rPr>
          <w:b/>
          <w:bCs/>
          <w:lang w:val="el" w:eastAsia="el"/>
        </w:rPr>
        <w:t>Η πράξη που εκδίδεται χειρόγραφα από τη Δ.Ο.Υ. Πλοίων Πειραιά, κοινοποιείται στον υπόχρεο, σύμφωνα με τις διατάξεις της περ. α΄ της παρ. 3 του άρθρου 5 του ΚΦΔ. στην προσωπική θυρίδα του (καρτέλα e-Κοινοποιήσεις, που είναι προσβάσιμη μέσω της εφαρμογής Μητρώο και Επικοινωνία της ψηφιακής πύλης myAADE), όπου έχει τη δυνατότητα να τη δει και να την εκτυπώσει. Επιπρόσθετα, αποστέλλεται ηλεκτρονική ειδοποίηση στη δηλωθείσα από τον υπόχρεο διεύθυνση ηλεκτρονικού ταχυδρομείου.</w:t>
      </w:r>
    </w:p>
    <w:p>
      <w:pPr>
        <w:spacing w:before="240" w:after="240"/>
        <w:rPr>
          <w:lang w:val="el" w:eastAsia="el"/>
        </w:rPr>
      </w:pPr>
      <w:r>
        <w:rPr>
          <w:lang w:val="el" w:eastAsia="el"/>
        </w:rPr>
        <w:t xml:space="preserve">5. </w:t>
      </w:r>
      <w:r>
        <w:rPr>
          <w:b/>
          <w:bCs/>
          <w:lang w:val="el" w:eastAsia="el"/>
        </w:rPr>
        <w:t>Η παρούσα απόφαση ισχύει από την έναρξη ισχύος του Νέου Συνυποσχετικού (ΑΡΘΡΟ 2</w:t>
      </w:r>
      <w:r>
        <w:rPr>
          <w:b/>
          <w:bCs/>
          <w:sz w:val="30"/>
          <w:szCs w:val="30"/>
          <w:vertAlign w:val="superscript"/>
          <w:lang w:val="el" w:eastAsia="el"/>
        </w:rPr>
        <w:t xml:space="preserve">Ο </w:t>
      </w:r>
      <w:r>
        <w:rPr>
          <w:b/>
          <w:bCs/>
          <w:lang w:val="el" w:eastAsia="el"/>
        </w:rPr>
        <w:t>και ΑΡΘΡΟ 4ο), ήτοι τυγχάνει εφαρμογής από τη διετία 2019-2020 (φορολογικά έτη 20182019) και εφεξής.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 ΓΕΩΡ. ΠΙΤΣΙΛΗΣ</w:t>
      </w:r>
    </w:p>
    <w:p>
      <w:pPr>
        <w:spacing w:before="240" w:after="240"/>
        <w:rPr>
          <w:lang w:val="el" w:eastAsia="el"/>
        </w:rPr>
      </w:pPr>
      <w:r>
        <w:rPr>
          <w:b/>
          <w:bCs/>
          <w:lang w:val="el" w:eastAsia="el"/>
        </w:rPr>
        <w:t>Συνημμένα: Το υπόδειγμα Ι : Πράξη διοικητικού προσδιορισμού του ελλείμματος της Νέας Οικειοθελούς παροχής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Δ/νση ΣΔΟΕ Αττικής – Επιχειρησιακή Δ/νση ΣΔΟΕ Μακεδονίας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lang w:val="el" w:eastAsia="el"/>
        </w:rPr>
        <w:t xml:space="preserve">5. </w:t>
      </w:r>
      <w:r>
        <w:rPr>
          <w:b/>
          <w:bCs/>
          <w:lang w:val="el" w:eastAsia="el"/>
        </w:rPr>
        <w:t>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Αποδέκτες πίνακα Η΄ (εκτός 4,10 και 11)</w:t>
      </w:r>
    </w:p>
    <w:p>
      <w:pPr>
        <w:spacing w:before="240" w:after="240"/>
        <w:rPr>
          <w:lang w:val="el" w:eastAsia="el"/>
        </w:rPr>
      </w:pPr>
      <w:r>
        <w:rPr>
          <w:lang w:val="el" w:eastAsia="el"/>
        </w:rPr>
        <w:t xml:space="preserve">4. </w:t>
      </w:r>
      <w:r>
        <w:rPr>
          <w:b/>
          <w:bCs/>
          <w:lang w:val="el" w:eastAsia="el"/>
        </w:rPr>
        <w:t>Αποδέκτες πίνακα ΙΒ΄(5 και 7)</w:t>
      </w:r>
    </w:p>
    <w:p>
      <w:pPr>
        <w:spacing w:before="240" w:after="240"/>
        <w:rPr>
          <w:lang w:val="el" w:eastAsia="el"/>
        </w:rPr>
      </w:pPr>
      <w:r>
        <w:rPr>
          <w:lang w:val="el" w:eastAsia="el"/>
        </w:rPr>
        <w:t xml:space="preserve">5. </w:t>
      </w:r>
      <w:r>
        <w:rPr>
          <w:b/>
          <w:bCs/>
          <w:lang w:val="el" w:eastAsia="el"/>
        </w:rPr>
        <w:t>Αποδέκτες πίνακα ΚΓ΄</w:t>
      </w:r>
    </w:p>
    <w:p>
      <w:pPr>
        <w:spacing w:before="240" w:after="240"/>
        <w:rPr>
          <w:lang w:val="el" w:eastAsia="el"/>
        </w:rPr>
      </w:pPr>
      <w:r>
        <w:rPr>
          <w:lang w:val="el" w:eastAsia="el"/>
        </w:rPr>
        <w:t xml:space="preserve">6.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Φορολογικής Διοίκησης Α.Α.Δ.Ε.</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Γραφείο Προϊσταμένου Διεύθυνσης Άμεσης Φορολογίας</w:t>
      </w:r>
    </w:p>
    <w:p>
      <w:pPr>
        <w:spacing w:before="240" w:after="240"/>
        <w:rPr>
          <w:lang w:val="el" w:eastAsia="el"/>
        </w:rPr>
      </w:pPr>
      <w:r>
        <w:rPr>
          <w:lang w:val="el" w:eastAsia="el"/>
        </w:rPr>
        <w:t xml:space="preserve">7. </w:t>
      </w:r>
      <w:r>
        <w:rPr>
          <w:b/>
          <w:bCs/>
          <w:lang w:val="el" w:eastAsia="el"/>
        </w:rPr>
        <w:t>Δ/νση Εφαρμογής Άμεσης Φορολογίας – Τμήματα Γ, Β 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mailto:gdegov@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