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ΦΟΡΟΛΟΓΙΚΗΣ ΔΙΟΙΚΗΣΗΣ 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 183 46 Μοσχάτο</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 4802282, 4802648, 4802154</w:t>
      </w:r>
    </w:p>
    <w:p>
      <w:pPr>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d.eleg01@aade.gr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Α.1038/14.3.2022 απόφασης του</w:t>
      </w:r>
    </w:p>
    <w:p>
      <w:pPr>
        <w:spacing w:before="240" w:after="240"/>
        <w:rPr>
          <w:lang w:val="el" w:eastAsia="el"/>
        </w:rPr>
      </w:pPr>
      <w:r>
        <w:rPr>
          <w:b/>
          <w:bCs/>
          <w:lang w:val="el" w:eastAsia="el"/>
        </w:rPr>
        <w:t>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 (Β΄1475).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παρ. 3 και 4 του άρθρου 14 του ν.4174/2013 «Φορολογικές διαδικασίες και άλλες διατάξεις» (Α΄ 170),</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15Α του ν.4174/2013 «Φορολογικές διαδικασίες και άλλες διατάξεις» (Α’ 170), γ) της υπό στοιχεία Α.1138/12.6.2020 κοινής απόφασης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spacing w:before="240" w:after="240"/>
        <w:rPr>
          <w:lang w:val="el" w:eastAsia="el"/>
        </w:rPr>
      </w:pPr>
      <w:r>
        <w:rPr>
          <w:b/>
          <w:bCs/>
          <w:lang w:val="el" w:eastAsia="el"/>
        </w:rPr>
        <w:t xml:space="preserve">2. </w:t>
      </w:r>
      <w:r>
        <w:rPr>
          <w:b/>
          <w:bCs/>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3. </w:t>
      </w:r>
      <w:r>
        <w:rPr>
          <w:b/>
          <w:bCs/>
          <w:lang w:val="el" w:eastAsia="el"/>
        </w:rPr>
        <w:t>Την υπό στοιχεία Α.1038/14.3.2022 απόφαση του 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 (Β΄1475).</w:t>
      </w:r>
    </w:p>
    <w:p>
      <w:pPr>
        <w:spacing w:before="240" w:after="240"/>
        <w:rPr>
          <w:lang w:val="el" w:eastAsia="el"/>
        </w:rPr>
      </w:pPr>
      <w:r>
        <w:rPr>
          <w:b/>
          <w:bCs/>
          <w:lang w:val="el" w:eastAsia="el"/>
        </w:rPr>
        <w:t xml:space="preserve">4. </w:t>
      </w:r>
      <w:r>
        <w:rPr>
          <w:b/>
          <w:bCs/>
          <w:lang w:val="el" w:eastAsia="el"/>
        </w:rPr>
        <w:t>Την υπό στοιχεία Α.1068/26.5.2022 απόφαση του 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(Α΄170)»(Β΄2618).</w:t>
      </w:r>
    </w:p>
    <w:p>
      <w:pPr>
        <w:spacing w:before="240" w:after="240"/>
        <w:rPr>
          <w:lang w:val="el" w:eastAsia="el"/>
        </w:rPr>
      </w:pPr>
      <w:r>
        <w:rPr>
          <w:b/>
          <w:bCs/>
          <w:lang w:val="el" w:eastAsia="el"/>
        </w:rPr>
        <w:t>5.Την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την υπ΄ αρ. 39/3/30.11.2017 (ΥΟΔΔ 689) απόφαση του Συμβουλίου Διοίκησης της ΑΑΔΕ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6. </w:t>
      </w:r>
      <w:r>
        <w:rPr>
          <w:b/>
          <w:bCs/>
          <w:lang w:val="el" w:eastAsia="el"/>
        </w:rPr>
        <w:t>Την ανάγκη παροχής, επιπλέον, πρόσθετου χρόνου για τη διευκόλυνση των φορολογουμένων ως προς την εκπλήρωση της υποχρέωσης ηλεκτρονικής διαβίβασης δεδομένων στην Ανεξάρτητη Αρχή Δημοσίων Εσόδων για το ημερολογιακό έτος 2021.</w:t>
      </w:r>
    </w:p>
    <w:p>
      <w:pPr>
        <w:spacing w:before="240" w:after="240"/>
        <w:rPr>
          <w:lang w:val="el" w:eastAsia="el"/>
        </w:rPr>
      </w:pPr>
      <w:r>
        <w:rPr>
          <w:b/>
          <w:bCs/>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Α.1038/14.3.2022 Απόφαση του Διοικητή της ΑΑΔΕ «Τρόπος υποβολής καταστάσεων φορολογικών στοιχείων, για διασταύρωση πληροφοριών της παρ. 3 του άρθρου 14 του ν.4174/2013, για τα έτη 2021 και επόμενα (Α΄170)» (Β΄1475), ως ακολούθως:</w:t>
      </w:r>
    </w:p>
    <w:p>
      <w:pPr>
        <w:spacing w:before="240" w:after="240"/>
        <w:rPr>
          <w:lang w:val="el" w:eastAsia="el"/>
        </w:rPr>
      </w:pPr>
      <w:r>
        <w:rPr>
          <w:b/>
          <w:bCs/>
          <w:lang w:val="el" w:eastAsia="el"/>
        </w:rPr>
        <w:t xml:space="preserve">1. </w:t>
      </w:r>
      <w:r>
        <w:rPr>
          <w:b/>
          <w:bCs/>
          <w:lang w:val="el" w:eastAsia="el"/>
        </w:rPr>
        <w:t>Το όγδοο εδάφιο της παρ. 1 αντικαθίσταται ως εξής: «Η διαβίβαση των ανωτέρω δεδομένων, θεωρείται δήλωση πληροφοριακού χαρακτήρα για το ημερολογιακό έτος 2021 και ως καταληκτική ημερομηνία διαβίβασης αυτών, ορίζεται η 30.6.2022.».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 et.gr</w:t>
        </w:r>
      </w:hyperlink>
      <w:r>
        <w:rPr>
          <w:b/>
          <w:bCs/>
          <w:lang w:val="el" w:eastAsia="el"/>
        </w:rPr>
        <w:t>‘’)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Ζ’</w:t>
      </w:r>
    </w:p>
    <w:p>
      <w:pPr>
        <w:spacing w:before="240" w:after="240"/>
        <w:rPr>
          <w:lang w:val="el" w:eastAsia="el"/>
        </w:rPr>
      </w:pPr>
      <w:r>
        <w:rPr>
          <w:b/>
          <w:bCs/>
          <w:lang w:val="el" w:eastAsia="el"/>
        </w:rPr>
        <w:t xml:space="preserve">5. </w:t>
      </w:r>
      <w:r>
        <w:rPr>
          <w:b/>
          <w:bCs/>
          <w:lang w:val="el" w:eastAsia="el"/>
        </w:rPr>
        <w:t>Αποδέκτες πίνακα Η΄</w:t>
      </w:r>
    </w:p>
    <w:p>
      <w:pPr>
        <w:spacing w:before="240" w:after="240"/>
        <w:rPr>
          <w:lang w:val="el" w:eastAsia="el"/>
        </w:rPr>
      </w:pPr>
      <w:r>
        <w:rPr>
          <w:b/>
          <w:bCs/>
          <w:lang w:val="el" w:eastAsia="el"/>
        </w:rPr>
        <w:t xml:space="preserve">6.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7. </w:t>
      </w:r>
      <w:r>
        <w:rPr>
          <w:b/>
          <w:bCs/>
          <w:lang w:val="el" w:eastAsia="el"/>
        </w:rPr>
        <w:t>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Όλες τις Δ/νσεις της Γ.Δ.Φ.Δ.</w:t>
      </w:r>
    </w:p>
    <w:p>
      <w:pPr>
        <w:spacing w:before="240" w:after="240"/>
        <w:rPr>
          <w:lang w:val="el" w:eastAsia="el"/>
        </w:rPr>
      </w:pPr>
      <w:r>
        <w:rPr>
          <w:b/>
          <w:bCs/>
          <w:lang w:val="el" w:eastAsia="el"/>
        </w:rPr>
        <w:t xml:space="preserve">4. </w:t>
      </w:r>
      <w:r>
        <w:rPr>
          <w:b/>
          <w:bCs/>
          <w:lang w:val="el" w:eastAsia="el"/>
        </w:rPr>
        <w:t>Δ/νση Νομικής Υποστήριξης</w:t>
      </w:r>
    </w:p>
    <w:p>
      <w:pPr>
        <w:spacing w:before="240" w:after="240"/>
        <w:rPr>
          <w:lang w:val="el" w:eastAsia="el"/>
        </w:rPr>
      </w:pPr>
      <w:r>
        <w:rPr>
          <w:b/>
          <w:bCs/>
          <w:lang w:val="el" w:eastAsia="el"/>
        </w:rPr>
        <w:t xml:space="preserve">5. </w:t>
      </w:r>
      <w:r>
        <w:rPr>
          <w:b/>
          <w:bCs/>
          <w:lang w:val="el" w:eastAsia="el"/>
        </w:rPr>
        <w:t>Δ/νση Ανάπτυξης Φορολογικών Εφαρμογών</w:t>
      </w:r>
    </w:p>
    <w:p>
      <w:pPr>
        <w:spacing w:before="240" w:after="240"/>
        <w:rPr>
          <w:lang w:val="el" w:eastAsia="el"/>
        </w:rPr>
      </w:pPr>
      <w:r>
        <w:rPr>
          <w:b/>
          <w:bCs/>
          <w:lang w:val="el" w:eastAsia="el"/>
        </w:rPr>
        <w:t xml:space="preserve">6. </w:t>
      </w:r>
      <w:r>
        <w:rPr>
          <w:b/>
          <w:bCs/>
          <w:lang w:val="el" w:eastAsia="el"/>
        </w:rPr>
        <w:t>Δ/νση Επιχειρησιακών Διαδικασιών</w:t>
      </w:r>
    </w:p>
    <w:p>
      <w:pPr>
        <w:spacing w:before="240" w:after="240"/>
        <w:rPr>
          <w:lang w:val="el" w:eastAsia="el"/>
        </w:rPr>
      </w:pPr>
      <w:r>
        <w:rPr>
          <w:b/>
          <w:bCs/>
          <w:lang w:val="el" w:eastAsia="el"/>
        </w:rPr>
        <w:t xml:space="preserve">7. </w:t>
      </w:r>
      <w:r>
        <w:rPr>
          <w:b/>
          <w:bCs/>
          <w:lang w:val="el" w:eastAsia="el"/>
        </w:rPr>
        <w:t>Διεύθυνση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