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Ι. ΓΕΝΙΚΗ ΔΙΕΥΘΥΝΣΗ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ΕΦΑΡΜΟΓΗΣ ΦΟΡΟΛΟΓΙΑΣ</w:t>
      </w:r>
    </w:p>
    <w:p>
      <w:pPr>
        <w:pStyle w:val="PreambelText"/>
        <w:spacing w:before="240" w:after="240"/>
        <w:rPr>
          <w:lang w:val="el" w:eastAsia="el"/>
        </w:rPr>
      </w:pPr>
      <w:r>
        <w:rPr>
          <w:b/>
          <w:bCs/>
          <w:lang w:val="el" w:eastAsia="el"/>
        </w:rPr>
        <w:t>ΚΕΦΑΛΑΙΟΥ &amp; ΠΕΡΙΟΥΣΙΟΛΟΓΙΟΥ</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ΙΙ. ΓΕΝΙΚΗ 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lang w:val="el" w:eastAsia="el"/>
        </w:rPr>
        <w:t xml:space="preserve">1. </w:t>
      </w:r>
      <w:r>
        <w:rPr>
          <w:b/>
          <w:bCs/>
          <w:lang w:val="el" w:eastAsia="el"/>
        </w:rPr>
        <w:t>ΔΙΕΥΘΥΝΣΗ ΑΝΑΠΤΥΞΗΣ ΦΟΡΟΛΟΓΙΚΩΝ</w:t>
      </w:r>
    </w:p>
    <w:p>
      <w:pPr>
        <w:spacing w:before="240" w:after="240"/>
        <w:rPr>
          <w:lang w:val="el" w:eastAsia="el"/>
        </w:rPr>
      </w:pPr>
      <w:r>
        <w:rPr>
          <w:b/>
          <w:bCs/>
          <w:lang w:val="el" w:eastAsia="el"/>
        </w:rPr>
        <w:t>ΕΦΑΡΜΟΓΩΝ</w:t>
      </w:r>
    </w:p>
    <w:p>
      <w:pPr>
        <w:pStyle w:val="Heading1"/>
        <w:spacing w:before="240" w:after="240"/>
        <w:rPr>
          <w:lang w:val="el" w:eastAsia="el"/>
        </w:rPr>
      </w:pPr>
      <w:r>
        <w:rPr>
          <w:rStyle w:val="hierarchy-num"/>
          <w:b/>
          <w:bCs/>
          <w:lang w:val="el" w:eastAsia="el"/>
        </w:rPr>
        <w:t>ΤΜΗΜΑ:</w:t>
      </w:r>
    </w:p>
    <w:p>
      <w:pPr>
        <w:spacing w:before="240" w:after="240"/>
        <w:rPr>
          <w:lang w:val="el" w:eastAsia="el"/>
        </w:rPr>
      </w:pPr>
      <w:r>
        <w:rPr>
          <w:lang w:val="el" w:eastAsia="el"/>
        </w:rPr>
        <w:t xml:space="preserve">2. </w:t>
      </w:r>
      <w:r>
        <w:rPr>
          <w:b/>
          <w:bCs/>
          <w:lang w:val="el" w:eastAsia="el"/>
        </w:rPr>
        <w:t>ΔΙΕΘΥΝΣΗ ΕΠΙΧΕΙΡΗΣΙΑΚΩΝ ΔΙΑΔΙΚΑΣΙΩΝ</w:t>
      </w:r>
    </w:p>
    <w:p>
      <w:pPr>
        <w:pStyle w:val="Heading1"/>
        <w:spacing w:before="240" w:after="240"/>
        <w:rPr>
          <w:lang w:val="el" w:eastAsia="el"/>
        </w:rPr>
      </w:pPr>
      <w:r>
        <w:rPr>
          <w:b/>
          <w:bCs/>
          <w:lang w:val="el" w:eastAsia="el"/>
        </w:rPr>
        <w:t>ΤΜΗΜΑ:</w:t>
      </w:r>
    </w:p>
    <w:p>
      <w:pPr>
        <w:pStyle w:val="Heading1"/>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w:t>
      </w:r>
    </w:p>
    <w:p>
      <w:pPr>
        <w:spacing w:before="240" w:after="240"/>
        <w:rPr>
          <w:lang w:val="el" w:eastAsia="el"/>
        </w:rPr>
      </w:pPr>
      <w:r>
        <w:rPr>
          <w:b/>
          <w:bCs/>
          <w:lang w:val="el" w:eastAsia="el"/>
        </w:rPr>
        <w:t>Τηλέφωνο</w:t>
      </w:r>
    </w:p>
    <w:p>
      <w:pPr>
        <w:spacing w:before="240" w:after="240"/>
        <w:rPr>
          <w:lang w:val="el" w:eastAsia="el"/>
        </w:rPr>
      </w:pPr>
      <w:r>
        <w:rPr>
          <w:b/>
          <w:bCs/>
          <w:lang w:val="el" w:eastAsia="el"/>
        </w:rPr>
        <w:t>E-Mail</w:t>
      </w:r>
    </w:p>
    <w:p>
      <w:pPr>
        <w:spacing w:before="240" w:after="240"/>
        <w:rPr>
          <w:lang w:val="el" w:eastAsia="el"/>
        </w:rPr>
      </w:pPr>
      <w:r>
        <w:rPr>
          <w:b/>
          <w:bCs/>
          <w:lang w:val="el" w:eastAsia="el"/>
        </w:rPr>
        <w:t>Url</w:t>
      </w:r>
    </w:p>
    <w:p>
      <w:pPr>
        <w:spacing w:before="240" w:after="240"/>
        <w:rPr>
          <w:lang w:val="el" w:eastAsia="el"/>
        </w:rPr>
      </w:pPr>
      <w:r>
        <w:rPr>
          <w:b/>
          <w:bCs/>
          <w:lang w:val="el" w:eastAsia="el"/>
        </w:rPr>
        <w:t xml:space="preserve">Καρ. Σερβίας 8 10184 Αθήνα 210 3375878,9 </w:t>
      </w:r>
      <w:hyperlink r:id="rId4" w:history="1">
        <w:r>
          <w:rPr>
            <w:rStyle w:val="Hyperlink"/>
            <w:b/>
            <w:bCs/>
            <w:color w:val="0000EE"/>
            <w:u w:color="0000EE"/>
            <w:lang w:val="el" w:eastAsia="el"/>
          </w:rPr>
          <w:t>defk.a@aade.gr</w:t>
        </w:r>
      </w:hyperlink>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ΠΡΟΣ:</w:t>
      </w:r>
    </w:p>
    <w:p>
      <w:pPr>
        <w:spacing w:before="240" w:after="240"/>
        <w:rPr>
          <w:lang w:val="el" w:eastAsia="el"/>
        </w:rPr>
      </w:pPr>
      <w:r>
        <w:rPr>
          <w:b/>
          <w:bCs/>
          <w:lang w:val="el" w:eastAsia="el"/>
        </w:rPr>
        <w:t>Ως Πίνακας Διανομής</w:t>
      </w:r>
    </w:p>
    <w:p>
      <w:pPr>
        <w:spacing w:before="240" w:after="240"/>
        <w:rPr>
          <w:lang w:val="el" w:eastAsia="el"/>
        </w:rPr>
      </w:pPr>
      <w:r>
        <w:rPr>
          <w:b/>
          <w:bCs/>
          <w:lang w:val="el" w:eastAsia="el"/>
        </w:rPr>
        <w:t>ΘΕΜΑ: Διαδικασία για τη χορήγηση της έκπτωσης ή μείωσης των παραγράφων 1 και 2 του άρθρου 7 του ν. 4223/2013 για τον Ενιαίο Φόρο Ιδιοκτησίας Ακινήτων (ΕΝ.Φ.Ι.Α.) έτους 2022, κατά την υποβολή τροποποιητικών δηλώσεων.</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 xml:space="preserve">1. </w:t>
      </w:r>
      <w:r>
        <w:rPr>
          <w:b/>
          <w:bCs/>
          <w:lang w:val="el" w:eastAsia="el"/>
        </w:rPr>
        <w:t>Τις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των άρθρων 1 έως 8 του ν. 4223/2013 (Α΄ 287), περί Ενιαίου Φόρου Ιδιοκτησίας Ακινήτων (ΕΝ.Φ.Ι.Α.) και ειδικότερα τις διατάξεις της παραγράφου 7 του άρθρου 7,</w:t>
      </w:r>
    </w:p>
    <w:p>
      <w:pPr>
        <w:pStyle w:val="StructureList1"/>
        <w:spacing w:before="120" w:after="0"/>
        <w:rPr>
          <w:lang w:val="el" w:eastAsia="el"/>
        </w:rPr>
      </w:pPr>
      <w:r>
        <w:rPr>
          <w:b/>
          <w:bCs/>
          <w:lang w:val="el" w:eastAsia="el"/>
        </w:rPr>
        <w:t>β)</w:t>
      </w:r>
      <w:r>
        <w:rPr>
          <w:b/>
          <w:bCs/>
          <w:lang w:val="en" w:eastAsia="en"/>
        </w:rPr>
        <w:tab/>
      </w:r>
      <w:r>
        <w:rPr>
          <w:b/>
          <w:bCs/>
          <w:lang w:val="el" w:eastAsia="el"/>
        </w:rPr>
        <w:t>του ν. 4174/2013 (Α΄ 170) και ειδικότερα των άρθρων 4, 5, 19, 23, 32, 34, 37 και 63,</w:t>
      </w:r>
    </w:p>
    <w:p>
      <w:pPr>
        <w:pStyle w:val="StructureList1"/>
        <w:spacing w:before="120" w:after="0"/>
        <w:rPr>
          <w:lang w:val="el" w:eastAsia="el"/>
        </w:rPr>
      </w:pPr>
      <w:r>
        <w:rPr>
          <w:b/>
          <w:bCs/>
          <w:lang w:val="el" w:eastAsia="el"/>
        </w:rPr>
        <w:t>γ)</w:t>
      </w:r>
      <w:r>
        <w:rPr>
          <w:b/>
          <w:bCs/>
          <w:lang w:val="en" w:eastAsia="en"/>
        </w:rPr>
        <w:tab/>
      </w:r>
      <w:r>
        <w:rPr>
          <w:b/>
          <w:bCs/>
          <w:lang w:val="el" w:eastAsia="el"/>
        </w:rPr>
        <w:t>του ν. 4172/2013 (Α΄ 167),</w:t>
      </w:r>
    </w:p>
    <w:p>
      <w:pPr>
        <w:pStyle w:val="StructureList1"/>
        <w:spacing w:before="120" w:after="0"/>
        <w:rPr>
          <w:lang w:val="el" w:eastAsia="el"/>
        </w:rPr>
      </w:pPr>
      <w:r>
        <w:rPr>
          <w:b/>
          <w:bCs/>
          <w:lang w:val="el" w:eastAsia="el"/>
        </w:rPr>
        <w:t>δ)</w:t>
      </w:r>
      <w:r>
        <w:rPr>
          <w:b/>
          <w:bCs/>
          <w:lang w:val="en" w:eastAsia="en"/>
        </w:rPr>
        <w:tab/>
      </w:r>
      <w:r>
        <w:rPr>
          <w:b/>
          <w:bCs/>
          <w:lang w:val="el" w:eastAsia="el"/>
        </w:rPr>
        <w:t>του Κεφαλαίου Α΄ «Σύσταση Ανεξάρτητης Αρχής Δημοσίων Εσόδων» του Πρώτου Μέρους του ν. 4389/2016 «Επείγουσες διατάξεις για την εφαρμογή της συμφωνίας δημοσιονομικών στόχων και διαρθρωτικών μεταρρυθμίσεων και άλλες διατάξεις» (Α΄ 94),</w:t>
      </w:r>
    </w:p>
    <w:p>
      <w:pPr>
        <w:pStyle w:val="StructureList1"/>
        <w:spacing w:before="120" w:after="0"/>
        <w:rPr>
          <w:lang w:val="el" w:eastAsia="el"/>
        </w:rPr>
      </w:pPr>
      <w:r>
        <w:rPr>
          <w:b/>
          <w:bCs/>
          <w:lang w:val="el" w:eastAsia="el"/>
        </w:rPr>
        <w:t>ε)</w:t>
      </w:r>
      <w:r>
        <w:rPr>
          <w:b/>
          <w:bCs/>
          <w:lang w:val="en" w:eastAsia="en"/>
        </w:rPr>
        <w:tab/>
      </w:r>
      <w:r>
        <w:rPr>
          <w:b/>
          <w:bCs/>
          <w:lang w:val="el" w:eastAsia="el"/>
        </w:rPr>
        <w:t>της υπό στοιχεία Δ.ΟΡΓ. Α 1125859 ΕΞ 2020/23-10-2020 απόφασης του Διοικητή ΑΑΔΕ «Οργανισμός της Ανεξάρτητης Αρχής Δημοσίων Εσόδων (Α.Α.Δ.Ε.)» (Β΄ 4738),</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ΠΟΛ 1011/2015 (B΄ 56) απόφασης Γενικού Γραμματέα Δημοσίων Εσόδων και των Α. 1278/2019 (Β΄ 3007 &amp; 3129 ) και Α. 1058/2022 (Β΄2240) αποφάσεων Διοικητή ΑΑΔΕ.</w:t>
      </w:r>
    </w:p>
    <w:p>
      <w:pPr>
        <w:spacing w:before="240" w:after="240"/>
        <w:rPr>
          <w:lang w:val="el" w:eastAsia="el"/>
        </w:rPr>
      </w:pPr>
      <w:r>
        <w:rPr>
          <w:b/>
          <w:bCs/>
          <w:lang w:val="el" w:eastAsia="el"/>
        </w:rPr>
        <w:t xml:space="preserve">2. </w:t>
      </w:r>
      <w:r>
        <w:rPr>
          <w:b/>
          <w:bCs/>
          <w:lang w:val="el" w:eastAsia="el"/>
        </w:rPr>
        <w:t>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την υπ’ αρ. 39/3/30-11-2017 απόφαση του Συμβουλίου Διοίκησης της Α.Α.Δ.Ε. «Ανανέωση της θητείας του Διοικητή της Α.Α.Δ.Ε.» (Υ.Ο.Δ.Δ. 689) και την υπό στοιχεία 5294 ΕΞ 2020/17-01-2020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b/>
          <w:bCs/>
          <w:lang w:val="el" w:eastAsia="el"/>
        </w:rPr>
        <w:t xml:space="preserve">3. </w:t>
      </w:r>
      <w:r>
        <w:rPr>
          <w:b/>
          <w:bCs/>
          <w:lang w:val="el" w:eastAsia="el"/>
        </w:rPr>
        <w:t>Την ανάγκη μηχανογραφικής διαχείρισης των δηλώσεων ΕΝ.Φ.Ι.Α. μετά τις τροποποιήσεις της σχετικής νομοθεσίας, ώστε να αντιμετωπίζονται με όμοιο τρόπο οι φορολογούμενοι που υποβάλουν τροποποιητικές δηλώσεις.</w:t>
      </w:r>
    </w:p>
    <w:p>
      <w:pPr>
        <w:spacing w:before="240" w:after="240"/>
        <w:rPr>
          <w:lang w:val="el" w:eastAsia="el"/>
        </w:rPr>
      </w:pPr>
      <w:r>
        <w:rPr>
          <w:b/>
          <w:bCs/>
          <w:lang w:val="el" w:eastAsia="el"/>
        </w:rPr>
        <w:t xml:space="preserve">4. </w:t>
      </w:r>
      <w:r>
        <w:rPr>
          <w:b/>
          <w:bCs/>
          <w:lang w:val="el" w:eastAsia="el"/>
        </w:rPr>
        <w:t>Το γεγονός ότι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Δηλώσεις στοιχείων ακινήτων, αρχικές ή τροποποιητικές, που υποβάλλονται για το έτος 2022 μετά την πρώτη μαζική εκκαθάριση/ σύνθεση δηλώσεων/ έκδοση πράξεων διοικητικού προσδιορισμού ΕΝ.Φ.Ι.Α. του έτους αυτού, υποβάλλονται εμπρόθεσμα μέχρι και τη λήξη της προθεσμίας που προβλέπεται στην περίπτωση ε της παραγράφου 3 του άρθρου 6 του ν. 4223/2013. Για τις δηλώσεις αυτές εκδίδεται κεντρικά από τη Γενική Διεύθυνση Ηλεκτρονικής Διακυβέρνησης (ΓΔΗΛΕΔ) της ΑΑΔΕ πράξη διοικητικού προσδιορισμού του φόρου και ο φόρος υπολογίζεται σε ισόποσες μηνιαίες δόσεις μέχρι και την 28</w:t>
      </w:r>
      <w:r>
        <w:rPr>
          <w:b/>
          <w:bCs/>
          <w:sz w:val="30"/>
          <w:szCs w:val="30"/>
          <w:vertAlign w:val="superscript"/>
          <w:lang w:val="el" w:eastAsia="el"/>
        </w:rPr>
        <w:t>η</w:t>
      </w:r>
      <w:r>
        <w:rPr>
          <w:b/>
          <w:bCs/>
          <w:lang w:val="el" w:eastAsia="el"/>
        </w:rPr>
        <w:t xml:space="preserve"> Φεβρουαρίου 2023, όπως ορίζεται στην ίδια διάταξη. Στους φορολογουμένους στους οποίους έχει ήδη χορηγηθεί ποσοστό έκπτωσης σύμφωνα με τις παραγράφους 1 και 2 του άρθρου 7 του ν. 4223/2013, λαμβάνεται υπόψη το ποσοστό της έκπτωσης που έχει χορηγηθεί με την πρώτη εκδοθείσα πράξη διοικητικού προσδιορισμού του φόρου. Το ποσό έκπτωσης που προκύπτει δεν μπορεί να υπερβαίνει το ποσό της έκπτωσης που έχει χορηγηθεί με την πρώτη εκδοθείσα πράξη διοικητικού προσδιορισμού του φόρου.</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Μετά τη λήξη της προθεσμίας που προβλέπεται στην περίπτωση ε της παραγράφου 3 του άρθρου 6 του ν. 4223/2013, γίνεται κεντρική επανεκκαθάριση από τη ΓΔΗΛΕΔ με βάση την περιουσιακή κατάσταση των φορολογουμένων, όπως αυτή έχει διαμορφωθεί κατά την ημερομηνία της λήξης της προθεσμίας. Πράξη διοικητικού προσδιορισμού του φόρου εκδίδεται μόνον εφόσον από τις υποβληθείσες δηλώσεις προκύπτουν νέοι δικαιούχοι ή εφόσον προκύπτει μεγαλύτερο ποσό ή ποσοστό έκπτωσης. Το ποσό της έκπτωσης χορηγείται με βάση την τελευταία εκδοθείσα πράξη διοικητικού προσδιορισμού του φόρου. Ο φόρος υπολογίζεται σε ισόποσες μηνιαίες δόσεις μέχρι και την 28</w:t>
      </w:r>
      <w:r>
        <w:rPr>
          <w:b/>
          <w:bCs/>
          <w:sz w:val="30"/>
          <w:szCs w:val="30"/>
          <w:vertAlign w:val="superscript"/>
          <w:lang w:val="el" w:eastAsia="el"/>
        </w:rPr>
        <w:t xml:space="preserve">η </w:t>
      </w:r>
      <w:r>
        <w:rPr>
          <w:b/>
          <w:bCs/>
          <w:lang w:val="el" w:eastAsia="el"/>
        </w:rPr>
        <w:t>Φεβρουαρίου 2023.</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Κατά την υποβολή εκπρόθεσμων τροποποιητικών δηλώσεων για το έτος 2022 από τους φορολογουμένους στους οποίους έχει ήδη χορηγηθεί ποσοστό έκπτωσης σύμφωνα με τις παραγράφους 1 και 2 του άρθρου 7 του ν. 4223/2013, εκδίδεται πράξη διορθωτικού προσδιορισμού του φόρου στην οποία</w:t>
      </w:r>
    </w:p>
    <w:p>
      <w:pPr>
        <w:spacing w:before="240" w:after="240"/>
        <w:rPr>
          <w:lang w:val="el" w:eastAsia="el"/>
        </w:rPr>
      </w:pPr>
      <w:r>
        <w:rPr>
          <w:b/>
          <w:bCs/>
          <w:lang w:val="el" w:eastAsia="el"/>
        </w:rPr>
        <w:t>λαμβάνεται υπόψη το ποσοστό της έκπτωσης που έχει χορηγηθεί με την τελευταία εκδοθείσα πράξη διοικητικού προσδιορισμού. Το ποσό της έκπτωσης που προκύπτει δεν μπορεί να υπερβαίνει το ποσό της έκπτωσης που έχει χορηγηθεί με την τελευταία εκδοθείσα πράξη διοικητικού προσδιορισμού του φόρου.</w:t>
      </w:r>
    </w:p>
    <w:p>
      <w:pPr>
        <w:pStyle w:val="Heading6"/>
        <w:spacing w:before="240" w:after="240"/>
        <w:rPr>
          <w:lang w:val="el" w:eastAsia="el"/>
        </w:rPr>
      </w:pPr>
      <w:r>
        <w:rPr>
          <w:rStyle w:val="article-num"/>
          <w:b/>
          <w:bCs/>
          <w:lang w:val="el" w:eastAsia="el"/>
        </w:rPr>
        <w:t>Άρθρο 2</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Η απόφαση αυτή ισχύει για τον ΕΝ.Φ.Ι.Α. έτους 2022. Κάθε προηγούμενη απόφαση που ρυθμίζει τα ίδια θέματα παύει να ισχύει.</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Η απόφαση να δημοσιευθεί στην Εφημερίδα της Κυβερνήσεως.</w:t>
      </w:r>
    </w:p>
    <w:p>
      <w:pPr>
        <w:spacing w:before="240" w:after="240"/>
        <w:rPr>
          <w:lang w:val="el" w:eastAsia="el"/>
        </w:rPr>
      </w:pPr>
      <w:r>
        <w:rPr>
          <w:b/>
          <w:bCs/>
          <w:lang w:val="el" w:eastAsia="el"/>
        </w:rPr>
        <w:t>Ο Διοικητής της Α.Α.Δ.Ε.</w:t>
      </w:r>
    </w:p>
    <w:p>
      <w:pPr>
        <w:spacing w:before="240" w:after="240"/>
        <w:rPr>
          <w:lang w:val="el" w:eastAsia="el"/>
        </w:rPr>
      </w:pPr>
      <w:r>
        <w:rPr>
          <w:b/>
          <w:bCs/>
          <w:lang w:val="el" w:eastAsia="el"/>
        </w:rPr>
        <w:t>Γεώργιος Πιτσιλής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ΠΙΝΑΚΑΣ ΑΠΟΔΕΚΤΩΝ</w:t>
      </w:r>
    </w:p>
    <w:p>
      <w:pPr>
        <w:spacing w:before="240" w:after="240"/>
        <w:rPr>
          <w:lang w:val="el" w:eastAsia="el"/>
        </w:rPr>
      </w:pPr>
      <w:r>
        <w:rPr>
          <w:b/>
          <w:bCs/>
          <w:u w:val="single"/>
          <w:lang w:val="el" w:eastAsia="el"/>
        </w:rPr>
        <w:t>Ι.ΑΠΟΔΕΚΤΕΣ ΓΙΑ ΑΜΕΣΗ ΕΝΕΡΓΕΙΑ</w:t>
      </w:r>
    </w:p>
    <w:p>
      <w:pPr>
        <w:spacing w:before="240" w:after="240"/>
        <w:rPr>
          <w:lang w:val="el" w:eastAsia="el"/>
        </w:rPr>
      </w:pPr>
      <w:r>
        <w:rPr>
          <w:b/>
          <w:bCs/>
          <w:lang w:val="el" w:eastAsia="el"/>
        </w:rPr>
        <w:t>Εθνικό Τυπογραφείο (για δημοσίευση)</w:t>
      </w:r>
    </w:p>
    <w:p>
      <w:pPr>
        <w:spacing w:before="240" w:after="240"/>
        <w:rPr>
          <w:lang w:val="el" w:eastAsia="el"/>
        </w:rPr>
      </w:pPr>
      <w:r>
        <w:rPr>
          <w:b/>
          <w:bCs/>
          <w:u w:val="single"/>
          <w:lang w:val="el" w:eastAsia="el"/>
        </w:rPr>
        <w:t>ΙΙ.ΑΠΟΔΕΚΤΕΣ ΓΙΑ ΕΝΕΡΓΕΙΑ (ΜΕΤΑ ΤΗ ΔΗΜΟΣΙΕΥΣΗ ΣΤΗΝ ΕΦΗΜΕΡΙΔΑ ΤΗΣ ΚΥΒΕΡΝΗΣΕΩΣ)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Αποδέκτες Πίνακα Γ΄ (περίπτωση 6)</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ΔΙΕΥΘΥΝΣΗ ΣΤΡΑΤΗΓΙΚΗΣ ΤΕΧΝΟΛΟΓΙΩΝ ΠΛΗΡΟΦΟΡΙΚΗΣ (ΔΙ.Σ.ΤΕ.ΠΛ) για ανάρτηση στην ιστοσελίδα της ΑΑΔΕ και την Ηλεκτρονική Βιβλιοθήκη ΑΑΔΕ</w:t>
      </w:r>
    </w:p>
    <w:p>
      <w:pPr>
        <w:spacing w:before="240" w:after="240"/>
        <w:rPr>
          <w:lang w:val="el" w:eastAsia="el"/>
        </w:rPr>
      </w:pPr>
      <w:r>
        <w:rPr>
          <w:b/>
          <w:bCs/>
          <w:u w:val="single"/>
          <w:lang w:val="el" w:eastAsia="el"/>
        </w:rPr>
        <w:t>ΙΙΙ.ΑΠΟΔΕΚΤΕΣ ΓΙΑ ΚΟΙΝΟΠΟΙΗΣΗ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Υπουργού</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Γραφείο Υφυπουργού</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Γραφείο Γενικού Γραμματέα Φορολογικής Πολιτικής και Δημόσιας Περιουσίας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Αποδέκτες Πίνακα Β΄ (περίπτωση 3)</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Αποδέκτες Πίνακα Γ΄ (περιπτώσεις 1 έως και 5)</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Αποδέκτες Πίνακα Ζ΄ (περιπτώσεις 1 και 7)</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Αποδέκτες Πίνακα Η΄(περιπτώσεις 1 έως και 3, 5 έως και 9)</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Αποδέκτες Πίνακα Ι΄</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Αποδέκτες Πίνακα ΙΒ΄ (περίπτωση 7)</w:t>
      </w:r>
    </w:p>
    <w:p>
      <w:pPr>
        <w:spacing w:before="240" w:after="240"/>
        <w:rPr>
          <w:lang w:val="el" w:eastAsia="el"/>
        </w:rPr>
      </w:pPr>
      <w:r>
        <w:rPr>
          <w:b/>
          <w:bCs/>
          <w:u w:val="single"/>
          <w:lang w:val="el" w:eastAsia="el"/>
        </w:rPr>
        <w:t xml:space="preserve">IV.ΕΣΩΤΕΡΙΚΗ </w:t>
      </w:r>
      <w:r>
        <w:rPr>
          <w:b/>
          <w:bCs/>
          <w:u w:val="single"/>
          <w:lang w:val="el" w:eastAsia="el"/>
        </w:rPr>
        <w:t>ΔΙΑΝΟΜΗ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Διοικητή ΑΑΔΕ</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Γραφεία Γενικών Διευθυντών</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Διευθύνσεις, Αυτοτελή Τμήματα και Αυτοτελή Γραφεία της ΓΔΦΔ</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Δ/νση Νομικής Υποστήριξης της ΑΑΔΕ</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Γενική Διεύθυνση Ηλεκτρονικής Διακυβέρνησης</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Δ/νση Εφαρμογής Φορολογίας Κεφαλαίου και Περιουσιολογίου – Τμήμα Α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fk.a@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