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Γ1α/Γ.Π.οικ. 35161/2022</w:t>
      </w:r>
    </w:p>
    <w:p>
      <w:pPr>
        <w:pStyle w:val="Title"/>
        <w:spacing w:before="120" w:after="360"/>
        <w:rPr>
          <w:lang w:val="el" w:eastAsia="el"/>
        </w:rPr>
      </w:pPr>
      <w:r>
        <w:rPr>
          <w:lang w:val="el" w:eastAsia="el"/>
        </w:rPr>
        <w:t>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Γ1α/Γ.Π.οικ. 35161/2022</w:t>
      </w:r>
    </w:p>
    <w:p>
      <w:pPr>
        <w:spacing w:before="240" w:after="240"/>
        <w:rPr>
          <w:lang w:val="el" w:eastAsia="el"/>
        </w:rPr>
      </w:pPr>
      <w:r>
        <w:rPr>
          <w:lang w:val="el" w:eastAsia="el"/>
        </w:rPr>
        <w:t>(ΦΕΚ Β' 3020/16-06-2022)</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 ΕΡΓΑΣΙΑΣ ΚΑΙ ΚΟΙΝΩΝΙΚΩΝ ΥΠΟΘΕΣΕΩΝ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38 και της παρ. 6 του άρθρου 71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StructureList1"/>
        <w:spacing w:before="120" w:after="0"/>
        <w:rPr>
          <w:lang w:val="el" w:eastAsia="el"/>
        </w:rPr>
      </w:pPr>
      <w:r>
        <w:rPr>
          <w:lang w:val="el" w:eastAsia="el"/>
        </w:rPr>
        <w:t>β)</w:t>
      </w:r>
      <w:r>
        <w:rPr>
          <w:lang w:val="en" w:eastAsia="en"/>
        </w:rPr>
        <w:tab/>
      </w:r>
      <w:r>
        <w:rPr>
          <w:lang w:val="el" w:eastAsia="el"/>
        </w:rPr>
        <w:t>του άρθρου 19 του ν. 4486/2017 «Μεταρρύθμιση της Πρωτοβάθμιας Φροντίδας Υγείας, επείγουσες ρυθμίσεις αρμοδιότητας Υπουργείου Υγείας και άλλες διατάξεις» (Α' 115), όπως τροποποιήθηκε με το άρθρο 37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StructureList1"/>
        <w:spacing w:before="120" w:after="0"/>
        <w:rPr>
          <w:lang w:val="el" w:eastAsia="el"/>
        </w:rPr>
      </w:pPr>
      <w:r>
        <w:rPr>
          <w:lang w:val="el" w:eastAsia="el"/>
        </w:rPr>
        <w:t>γ)</w:t>
      </w:r>
      <w:r>
        <w:rPr>
          <w:lang w:val="en" w:eastAsia="en"/>
        </w:rPr>
        <w:tab/>
      </w:r>
      <w:r>
        <w:rPr>
          <w:lang w:val="el" w:eastAsia="el"/>
        </w:rPr>
        <w:t>του άρθρου 5 του ν. 4238/2014 «Πρωτοβάθμιο Εθνικό Δίκτυο Υγείας (Π.Ε.Δ.Υ.), αλλαγή σκοπού Ε.Ο.Π.Υ.Υ. και λοιπές διατάξεις» (Α' 38), όπως αντικαταστάθηκε με το άρθρο 36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StructureList1"/>
        <w:spacing w:before="120" w:after="0"/>
        <w:rPr>
          <w:lang w:val="el" w:eastAsia="el"/>
        </w:rPr>
      </w:pPr>
      <w:r>
        <w:rPr>
          <w:lang w:val="el" w:eastAsia="el"/>
        </w:rPr>
        <w:t>δ)</w:t>
      </w:r>
      <w:r>
        <w:rPr>
          <w:lang w:val="en" w:eastAsia="en"/>
        </w:rPr>
        <w:tab/>
      </w:r>
      <w:r>
        <w:rPr>
          <w:lang w:val="el" w:eastAsia="el"/>
        </w:rPr>
        <w:t>του άρθρου 90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ζ)</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η)</w:t>
      </w:r>
      <w:r>
        <w:rPr>
          <w:lang w:val="en" w:eastAsia="en"/>
        </w:rPr>
        <w:tab/>
      </w:r>
      <w:r>
        <w:rPr>
          <w:lang w:val="el" w:eastAsia="el"/>
        </w:rPr>
        <w:t>π.δ. 2/2021 «Διορισμός Υπουργών, Αναπληρωτών Υπουργών και Υφυπουργών» (Α' 2),</w:t>
      </w:r>
    </w:p>
    <w:p>
      <w:pPr>
        <w:pStyle w:val="StructureList1"/>
        <w:spacing w:before="120" w:after="0"/>
        <w:rPr>
          <w:lang w:val="el" w:eastAsia="el"/>
        </w:rPr>
      </w:pPr>
      <w:r>
        <w:rPr>
          <w:lang w:val="el" w:eastAsia="el"/>
        </w:rPr>
        <w:t>θ)</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ι)</w:t>
      </w:r>
      <w:r>
        <w:rPr>
          <w:lang w:val="en" w:eastAsia="en"/>
        </w:rPr>
        <w:tab/>
      </w:r>
      <w:r>
        <w:rPr>
          <w:lang w:val="el" w:eastAsia="el"/>
        </w:rPr>
        <w:t>του π.δ. 63/2020 «Σύσταση και κατάργηση Γενικών και Ειδικών Γραμματειών, μεταφορά αρμοδιοτήτων μεταξύ Γενικών Γραμματειών» (Α' 156),</w:t>
      </w:r>
    </w:p>
    <w:p>
      <w:pPr>
        <w:pStyle w:val="StructureList1"/>
        <w:spacing w:before="120" w:after="0"/>
        <w:rPr>
          <w:lang w:val="el" w:eastAsia="el"/>
        </w:rPr>
      </w:pPr>
      <w:r>
        <w:rPr>
          <w:lang w:val="el" w:eastAsia="el"/>
        </w:rPr>
        <w:t>κ)</w:t>
      </w:r>
      <w:r>
        <w:rPr>
          <w:lang w:val="en" w:eastAsia="en"/>
        </w:rPr>
        <w:tab/>
      </w:r>
      <w:r>
        <w:rPr>
          <w:lang w:val="el" w:eastAsia="el"/>
        </w:rPr>
        <w:t>της υπό στοιχεία ΔΥΓ3(α) /οικ.104747/26.10.2012 (Β' 2883) κοινής απόφασης των Υπουργών Υγείας και Εργασίας και Κοινωνικών Υποθέσεων περί τροποποίησης και επαναδιατύπωσης της υπό στοιχεία Φ.42000/οικ.2555/353/28.2.2012 κοινής υπουργικής απόφασης «Κατάλογος παθήσεων, τα φάρμακα των οποίων χορηγούνται με μειωμένη ή μηδενική συμμετοχή του ασφαλισμένου» (Β' 497), όπως αυτή είχε τροποποιηθεί με την υπό στοιχεία Φ.42000/οικ.12485/1481/6.6.2012 κοινή υπουργική απόφαση (Β 1814),</w:t>
      </w:r>
    </w:p>
    <w:p>
      <w:pPr>
        <w:pStyle w:val="StructureList1"/>
        <w:spacing w:before="120" w:after="0"/>
        <w:rPr>
          <w:lang w:val="el" w:eastAsia="el"/>
        </w:rPr>
      </w:pPr>
      <w:r>
        <w:rPr>
          <w:lang w:val="el" w:eastAsia="el"/>
        </w:rPr>
        <w:t>λ)</w:t>
      </w:r>
      <w:r>
        <w:rPr>
          <w:lang w:val="en" w:eastAsia="en"/>
        </w:rPr>
        <w:tab/>
      </w:r>
      <w:r>
        <w:rPr>
          <w:lang w:val="el" w:eastAsia="el"/>
        </w:rPr>
        <w:t>της υπό στοιχεία ΕΑΛΕ/Γ.Π. 80157/2018 κοινής απόφασης των Αναπληρωτών Υπουργών Οικονομικών και Υγείας «Τροποποίηση και αντικατάσταση της υπό στοιχεία ΕΑΛΕ/Γ.Π. 46846/18-06-2018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spacing w:before="240" w:after="240"/>
        <w:rPr>
          <w:lang w:val="el" w:eastAsia="el"/>
        </w:rPr>
      </w:pPr>
      <w:r>
        <w:rPr>
          <w:lang w:val="el" w:eastAsia="el"/>
        </w:rPr>
        <w:t>2. Την υπό στοιχεία Β1α/Γ.Π. οικ. 34086/09-06-2022 εισήγηση της Γενικής Διεύθυνσης Οικονομικών Υπηρεσιών του Υπουργείου Υγείας, σύμφωνα με την περ. ε' της παρ. 5 του άρθρου 24 του ν. 4270/2014 (Α' 143), σύμφωνα με την οποία από το περιεχόμενο της παρούσας δεν προκαλείται δαπάνη σε βάρος του προϋπολογισμού του Υπουργείου Υγείας, δεδομένου ότι ρυθμίζονται θέματα σχετικά με το σύστημα κινήτρων για την ενθάρρυνση της εγγραφής πολιτών σε Προσωπικό ιατρό,</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Ι.Α. Τον καθορισμό και την εξειδίκευση του συστήματος κινήτρων για την ενθάρρυνση της εγγραφής των πολιτών σε Προσωπικό Ιατρό, συνιστάμενο στην χορήγηση προτεραιότητας από 01-01-2023 στους εγγεγραμμένους σε Προσωπικό Ιατρό πολίτες, κατά τον προγραμματισμό των επισκέψεών τους στα τακτικά εξωτερικά ιατρεία σε δημόσιες μονάδες δευτεροβάθμιας και τριτοβάθμιας φροντίδας υγείας.</w:t>
      </w:r>
    </w:p>
    <w:p>
      <w:pPr>
        <w:spacing w:before="240" w:after="240"/>
        <w:rPr>
          <w:lang w:val="el" w:eastAsia="el"/>
        </w:rPr>
      </w:pPr>
      <w:r>
        <w:rPr>
          <w:lang w:val="el" w:eastAsia="el"/>
        </w:rPr>
        <w:t>IB. Τον καθορισμό και την εξειδίκευση του συστήματος συνεπειών («αντικινήτρων») για τη μη εγγραφή των πολιτών σε Προσωπικό Ιατρό ως εξής:</w:t>
      </w:r>
    </w:p>
    <w:p>
      <w:pPr>
        <w:pStyle w:val="StructureList1"/>
        <w:spacing w:before="120" w:after="0"/>
        <w:rPr>
          <w:lang w:val="el" w:eastAsia="el"/>
        </w:rPr>
      </w:pPr>
      <w:r>
        <w:rPr>
          <w:lang w:val="el" w:eastAsia="el"/>
        </w:rPr>
        <w:t>α)</w:t>
      </w:r>
      <w:r>
        <w:rPr>
          <w:lang w:val="en" w:eastAsia="en"/>
        </w:rPr>
        <w:tab/>
      </w:r>
      <w:r>
        <w:rPr>
          <w:lang w:val="el" w:eastAsia="el"/>
        </w:rPr>
        <w:t xml:space="preserve">Από την </w:t>
      </w:r>
      <w:r>
        <w:rPr>
          <w:b/>
          <w:bCs/>
          <w:lang w:val="el" w:eastAsia="el"/>
        </w:rPr>
        <w:t>31η.12.2024</w:t>
      </w:r>
      <w:r>
        <w:rPr>
          <w:lang w:val="el" w:eastAsia="el"/>
        </w:rPr>
        <w:t xml:space="preserve"> πρόσθετη συμμετοχή στη φαρμακευτική δαπάνη του πολίτη, ο οποίος δεν είναι εγγεγραμμένος σε Προσωπικό Ιατρό, κατά ποσοστό δέκα τοις εκατό (10%), επιπλέον του καθορισμένου κατά περίπτωση ποσοστού συμμετοχής του σύμφωνα με την υπό στοιχεία ΔΥΓ3(α) /οικ.104747/26.10.2012 (Β' 2883) κοινή απόφαση των Υπουργών Υγείας και Εργασίας και Κοινωνικών Υποθέσεων περί τροποποίησης και επαναδιατύπωσης της υπό στοιχεία Φ.42000/οικ.2555/353/28.2.2012 κοινής υπουργικής απόφασης «Κατάλογος παθήσεων, τα φάρμακα των οποίων χορηγούνται με μειωμένη ή μηδενική συμμετοχή του ασφαλισμένου» (Β' 497), όπως αυτή είχε τροποποιηθεί με την υπό στοιχεία Φ.42000/οικ.12485/1481/6.6.2012 κοινή υπουργική απόφαση (Β' 1814).</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 xml:space="preserve">Από την </w:t>
      </w:r>
      <w:r>
        <w:rPr>
          <w:b/>
          <w:bCs/>
          <w:lang w:val="el" w:eastAsia="el"/>
        </w:rPr>
        <w:t>31η.12.2024</w:t>
      </w:r>
      <w:r>
        <w:rPr>
          <w:lang w:val="el" w:eastAsia="el"/>
        </w:rPr>
        <w:t xml:space="preserve"> πρόσθετη συμμετοχή στις εργαστηριακές και διαγνωστικές εξετάσεις και πράξεις, στα νοσήλια σε ιδιωτικές κλινικές και στις λοιπές παροχές, όπως αυτές περιγράφονται στον ΕΚΠΥ του Ε.Ο.Π.Υ.Υ. του πολίτη, ο οποίος δεν είναι εγγεγραμμένος σε Προσωπικό Ιατρό, κατά ποσοστό δέκα τοις εκατό (10%), επιπλέον του καθορισμένου κατά περίπτωση ποσοστού συμμετοχής του σύμφωνα με την υπό στοιχεία ΕΑΛΕ/Γ.Π. 80157/2018 κοινή απόφαση των Αναπληρωτών Υπουργών Οικονομικών και Υγείας «Τροποποίηση και αντικατάσταση της υπ' αρ. ΕΑΛΕ/Γ.Π. 46846/18-06-2018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Από την 01-01-2023 τα ανωτέρω υπό (α) και (β) προβλεπόμενα προσαυξάνονται κατά ποσοστό δέκα τοις εκατό (10%), επιπλέον της άνω πρόσθετης συμμετοχής επί του καθορισμένου κατά περίπτωση ποσοστού συμμετοχής του στην φαρμακευτική δαπάνη και στις εργαστηριακές και διαγνωστικές εξετάσεις και πράξεις, στα νοσήλια σε ιδιωτικές κλινικές και στις λοιπές παροχές, όπως αυτές περιγράφονται στον ΕΚΠΥ του Ε.Ο.Π.Υ.Υ. του πολίτη, ανερχόμενα σε ποσοστό είκοσι τοις εκατό (20%) επί του καθορισμένου κατά περίπτωση ποσοστού συμμετοχής του.</w:t>
      </w:r>
    </w:p>
    <w:p>
      <w:pPr>
        <w:spacing w:before="240" w:after="240"/>
        <w:rPr>
          <w:lang w:val="el" w:eastAsia="el"/>
        </w:rPr>
      </w:pPr>
      <w:r>
        <w:rPr>
          <w:lang w:val="el" w:eastAsia="el"/>
        </w:rPr>
        <w:t>ΙΙ.Α. Τον καθορισμό και την εξειδίκευση του συστήματος κινήτρων για την τήρηση της διαδικασίας του συστήματος παραπομπών από τον προσωπικό ιατρό συνιστάμενο στην χορήγηση από την 01-09-2023 προτεραιότητας στους τηρούντες τη διαδικασία των παραπομπών πολίτες, κατά την παραπομπή τους στους ιατρούς ειδικοτήτων των Κέντρων Υγείας, τις δημόσιες δομές δευτεροβάθμιας και τριτοβάθμιας φροντίδας υγείας και τους συμβεβλημένους με τον Ε.Ο.Π.Υ.Υ. παρόχους υπηρεσιών υγείας.</w:t>
      </w:r>
    </w:p>
    <w:p>
      <w:pPr>
        <w:spacing w:before="240" w:after="240"/>
        <w:rPr>
          <w:lang w:val="el" w:eastAsia="el"/>
        </w:rPr>
      </w:pPr>
      <w:r>
        <w:rPr>
          <w:lang w:val="el" w:eastAsia="el"/>
        </w:rPr>
        <w:t>ΙΙ.Β. Τον καθορισμό και την εξειδίκευση του συστήματος συνεπειών «αντικινήτρων» για τη μη τήρηση της διαδικασίας του συστήματος παραπομπών από τον προσωπικό ιατρό από την </w:t>
      </w:r>
      <w:r>
        <w:rPr>
          <w:b/>
          <w:bCs/>
          <w:lang w:val="el" w:eastAsia="el"/>
        </w:rPr>
        <w:t>31η.12.2024</w:t>
      </w:r>
      <w:r>
        <w:rPr>
          <w:lang w:val="el" w:eastAsia="el"/>
        </w:rPr>
        <w:t xml:space="preserve"> συνιστάμενο στην εξυπηρέτηση από τις μονάδες δευτεροβάθμιας και τριτοβάθμιας φροντίδας υγείας μόνο των έκτακτων περιστατικών.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ΙΙΙ. Εάν ο πολίτης δεν τηρεί το σύστημα των Παραπομπών και δεν είναι εγγεγραμμένος σε προσωπικό ιατρό, τότε συντρέχουν στο πρόσωπό του σωρευτικά οι συνέπειες «αντικίνητρα» τόσο της περ. Ι.Β., όσο και της περ. ΙΙ.Β.</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Ιουνίου 2022</w:t>
      </w:r>
    </w:p>
    <w:p>
      <w:pPr>
        <w:spacing w:before="240" w:after="240"/>
        <w:rPr>
          <w:lang w:val="el" w:eastAsia="el"/>
        </w:rPr>
      </w:pPr>
      <w:r>
        <w:rPr>
          <w:lang w:val="el" w:eastAsia="el"/>
        </w:rPr>
        <w:t>    </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N. 5157/2024 15.11.2024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Γ1α/Γ.Π.οικ. 53768/2022 26.09.2022; Τροποποίηση A. Γ1α/Γ.Π.οικ. 69012 12.12.2022; Τροποποίηση A. Γ1α/Γ.Π.οικ.18302/2023 31.03.2023; Τροποποίηση A. Γ1α/Γ.Π.οικ.   60731/2023 17.11.2023; Τροποποίηση A.  Γ1α/Γ.Π.οικ. 34632/2024 27.06.2024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Γ1α/Γ.Π.οικ. 53768/2022 26.09.2022; Τροποποίηση A. Γ1α/Γ.Π.οικ. 69012 12.12.2022; Τροποποίηση A. Γ1α/Γ.Π.οικ.18302/2023 31.03.2023; Τροποποίηση A. Γ1α/Γ.Π.οικ.   60731/2023 17.11.2023; Τροποποίηση A.  Γ1α/Γ.Π.οικ. 34632/2024 27.06.2024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Γ1α/Γ.Π.οικ. 53768/2022 26.09.2022; Τροποποίηση A. Γ1α/Γ.Π.οικ. 69012 12.12.2022; Τροποποίηση A. Γ1α/Γ.Π.οικ.18302/2023 31.03.2023; Τροποποίηση A. Γ1α/Γ.Π.οικ.   60731/2023 17.11.2023; Τροποποίηση A.  Γ1α/Γ.Π.οικ. 34632/2024 27.06.2024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