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Γ1α/Γ.Π.οικ. 351</w:t>
      </w:r>
      <w:r>
        <w:rPr>
          <w:lang w:val="el" w:eastAsia="el"/>
        </w:rPr>
        <w:t xml:space="preserve">61 </w:t>
      </w:r>
    </w:p>
    <w:p>
      <w:pPr>
        <w:spacing w:before="240" w:after="240"/>
        <w:rPr>
          <w:lang w:val="el" w:eastAsia="el"/>
        </w:rPr>
      </w:pPr>
      <w:r>
        <w:rPr>
          <w:b/>
          <w:bCs/>
          <w:lang w:val="el" w:eastAsia="el"/>
        </w:rPr>
        <w:t>Α) Καθορισμός και εξειδίκευση κινήτρων για την ενθάρρυνση εγγραφής των πολιτών σε Προσωπικό Ιατρό.</w:t>
      </w:r>
    </w:p>
    <w:p>
      <w:pPr>
        <w:spacing w:before="240" w:after="240"/>
        <w:rPr>
          <w:lang w:val="el" w:eastAsia="el"/>
        </w:rPr>
      </w:pPr>
      <w:r>
        <w:rPr>
          <w:b/>
          <w:bCs/>
          <w:lang w:val="el" w:eastAsia="el"/>
        </w:rPr>
        <w:t>Β) Καθορισμός και εξειδίκευση συνεπειών «αντικινήτρων» για τη μη εγγραφή των πολιτών σε Προσωπικό Ιατρό.</w:t>
      </w:r>
    </w:p>
    <w:p>
      <w:pPr>
        <w:spacing w:before="240" w:after="240"/>
        <w:rPr>
          <w:lang w:val="el" w:eastAsia="el"/>
        </w:rPr>
      </w:pPr>
      <w:r>
        <w:rPr>
          <w:b/>
          <w:bCs/>
          <w:lang w:val="el" w:eastAsia="el"/>
        </w:rPr>
        <w:t>Γ) Καθορισμός και εξειδίκευση κινήτρων για την τήρηση της διαδικασίας του συστήματος παραπομπών.</w:t>
      </w:r>
    </w:p>
    <w:p>
      <w:pPr>
        <w:spacing w:before="240" w:after="240"/>
        <w:rPr>
          <w:lang w:val="el" w:eastAsia="el"/>
        </w:rPr>
      </w:pPr>
      <w:r>
        <w:rPr>
          <w:b/>
          <w:bCs/>
          <w:lang w:val="el" w:eastAsia="el"/>
        </w:rPr>
        <w:t>Δ) Καθορισμός και εξειδίκευση συνεπειών «αντικινήτρων» για τη μη τήρηση της διαδικασίας του συστήματος παραπομπών.</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ΕΡΓΑΣΙΑΣ ΚΑΙ ΚΟΙΝΩΝΙΚΩΝ</w:t>
      </w:r>
    </w:p>
    <w:p>
      <w:pPr>
        <w:spacing w:before="240" w:after="240"/>
        <w:rPr>
          <w:lang w:val="el" w:eastAsia="el"/>
        </w:rPr>
      </w:pPr>
      <w:r>
        <w:rPr>
          <w:b/>
          <w:bCs/>
          <w:lang w:val="el" w:eastAsia="el"/>
        </w:rPr>
        <w:t>ΥΠΟΘΕΣΕΩΝ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38 και της παρ. 6 του άρθρου 71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β) 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τροποποιήθηκε με το άρθρο 37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γ) του άρθρου 5 του ν. 4238/2014 «Πρωτοβάθμιο Εθνικό Δίκτυο Υγείας (Π.Ε.Δ.Υ.), αλλαγή σκοπού Ε.Ο.Π.Υ.Υ. και λοιπές διατάξεις» (Α’ 38), όπως αντικαταστάθηκε με το άρθρο 36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δ) 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ζ)</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η)</w:t>
      </w:r>
      <w:r>
        <w:rPr>
          <w:lang w:val="en" w:eastAsia="en"/>
        </w:rPr>
        <w:tab/>
      </w:r>
      <w:r>
        <w:rPr>
          <w:lang w:val="el" w:eastAsia="el"/>
        </w:rPr>
        <w:t>π.δ. 2/2021 «Διορισμός Υπουργών, Αναπληρωτών Υπουργών και Υφυπουργών» (Α’ 2),</w:t>
      </w:r>
    </w:p>
    <w:p>
      <w:pPr>
        <w:pStyle w:val="StructureList1"/>
        <w:spacing w:before="120" w:after="0"/>
        <w:rPr>
          <w:lang w:val="el" w:eastAsia="el"/>
        </w:rPr>
      </w:pPr>
      <w:r>
        <w:rPr>
          <w:lang w:val="el" w:eastAsia="el"/>
        </w:rPr>
        <w:t>θ)</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w:t>
      </w:r>
      <w:r>
        <w:rPr>
          <w:lang w:val="en" w:eastAsia="en"/>
        </w:rPr>
        <w:tab/>
      </w:r>
      <w:r>
        <w:rPr>
          <w:lang w:val="el" w:eastAsia="el"/>
        </w:rPr>
        <w:t>του π.δ. 63/2020 «Σύσταση και κατάργηση Γενικών και Ειδικών Γραμματειών, μεταφορά αρμοδιοτήτων μεταξύ Γενικών Γραμματειών» (Α’ 156),</w:t>
      </w:r>
    </w:p>
    <w:p>
      <w:pPr>
        <w:pStyle w:val="StructureList1"/>
        <w:spacing w:before="120" w:after="0"/>
        <w:rPr>
          <w:lang w:val="el" w:eastAsia="el"/>
        </w:rPr>
      </w:pPr>
      <w:r>
        <w:rPr>
          <w:lang w:val="el" w:eastAsia="el"/>
        </w:rPr>
        <w:t>κ)</w:t>
      </w:r>
      <w:r>
        <w:rPr>
          <w:lang w:val="en" w:eastAsia="en"/>
        </w:rPr>
        <w:tab/>
      </w:r>
      <w:r>
        <w:rPr>
          <w:lang w:val="el" w:eastAsia="el"/>
        </w:rPr>
        <w:t>της υπό στοιχεία ΔΥΓ3(α)/οικ. 104747/26-10-2012 (Β’ 2883) κοινής απόφασης των Υπουργών Υγείας και Εργασίας και Κοινωνικών Υποθέσεων περί τροποποίησης και επαναδιατύπωσης της υπό στοιχεία Φ.42000/ οικ.2555/353/28-02-2012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 12485/1481/06-06-2012 κοινή υπουργική απόφαση (Β 1814),</w:t>
      </w:r>
    </w:p>
    <w:p>
      <w:pPr>
        <w:pStyle w:val="StructureList1"/>
        <w:spacing w:before="120" w:after="0"/>
        <w:rPr>
          <w:lang w:val="el" w:eastAsia="el"/>
        </w:rPr>
      </w:pPr>
      <w:r>
        <w:rPr>
          <w:lang w:val="el" w:eastAsia="el"/>
        </w:rPr>
        <w:t>λ)</w:t>
      </w:r>
      <w:r>
        <w:rPr>
          <w:lang w:val="en" w:eastAsia="en"/>
        </w:rPr>
        <w:tab/>
      </w:r>
      <w:r>
        <w:rPr>
          <w:lang w:val="el" w:eastAsia="el"/>
        </w:rPr>
        <w:t>της υπό στοιχεία ΕΑΛΕ/Γ.Π. 80157/2018 κοινής απόφασης των Αναπληρωτών Υπουργών Οικονομικών και Υγείας «Τροποποίηση και αντικατάσταση της υπό στοιχεία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2. Την υπό στοιχεία Β1α/Γ.Π. οικ. 34086/09-06-2022 εισήγηση της Γενικής Διεύθυνσης Οικονομικών Υπηρεσιών του Υπουργείου Υγείας, σύμφωνα με την περ. ε’ της παρ. 5 του άρθρου 24 του ν. 4270/2014 (Α’ 143), σύμφωνα με την οποία από το περιεχόμενο της παρούσας δεν προκαλείται δαπάνη σε βάρος του προϋπολογισμού του Υπουργείου Υγείας, δεδομένου ότι ρυθμίζονται θέματα σχετικά με το σύστημα κινήτρων για την ενθάρρυνση της εγγραφής πολιτών σε Προσωπικό ιατρό, αποφασίζουμε:</w:t>
      </w:r>
    </w:p>
    <w:p>
      <w:pPr>
        <w:spacing w:before="240" w:after="240"/>
        <w:rPr>
          <w:lang w:val="el" w:eastAsia="el"/>
        </w:rPr>
      </w:pPr>
      <w:r>
        <w:rPr>
          <w:lang w:val="el" w:eastAsia="el"/>
        </w:rPr>
        <w:t>Ι.Α. Τον καθορισμό και την εξειδίκευση του συστήματος κινήτρων για την ενθάρρυνση της εγγραφής των πολιτών σε Προσωπικό Ιατρό, συνιστάμενο στην χορήγηση προτεραιότητας από 01-01-2023 στους εγγεγραμμένους σε Προσωπικό Ιατρό πολίτες, κατά τον προγραμματισμό των επισκέψεών τους στα τακτικά εξωτερικά ιατρεία σε δημόσιες μονάδες δευτεροβάθμιας και τριτοβάθμιας φροντίδας υγείας.</w:t>
      </w:r>
    </w:p>
    <w:p>
      <w:pPr>
        <w:spacing w:before="240" w:after="240"/>
        <w:rPr>
          <w:lang w:val="el" w:eastAsia="el"/>
        </w:rPr>
      </w:pPr>
      <w:r>
        <w:rPr>
          <w:lang w:val="el" w:eastAsia="el"/>
        </w:rPr>
        <w:t>ΙB. Τον καθορισμό και την εξειδίκευση του συστήματος συνεπειών («αντικινήτρων») για τη μη εγγραφή των πολιτών σε Προσωπικό Ιατρό ως εξής:</w:t>
      </w:r>
    </w:p>
    <w:p>
      <w:pPr>
        <w:pStyle w:val="StructureList1"/>
        <w:spacing w:before="120" w:after="0"/>
        <w:rPr>
          <w:lang w:val="el" w:eastAsia="el"/>
        </w:rPr>
      </w:pPr>
      <w:r>
        <w:rPr>
          <w:lang w:val="el" w:eastAsia="el"/>
        </w:rPr>
        <w:t>α)</w:t>
      </w:r>
      <w:r>
        <w:rPr>
          <w:lang w:val="en" w:eastAsia="en"/>
        </w:rPr>
        <w:tab/>
      </w:r>
      <w:r>
        <w:rPr>
          <w:lang w:val="el" w:eastAsia="el"/>
        </w:rPr>
        <w:t>Από την 01-10-2022 πρόσθετη συμμετοχή στη φαρμακευτική δαπάνη του πολίτη, ο οποίος δεν είναι εγγεγραμμένος σε Προσωπικό Ιατρό, κατά ποσοστό δέκα τοις εκατό (10%), επιπλέον του καθορισμένου κατά περίπτωση ποσοστού συμμετοχής του σύμφωνα με την υπό στοιχεία ΔΥΓ3(α)/οικ. 104747/26-10-2012 (Β’ 2883) κοινή απόφαση των Υπουργών Υγείας και Εργασίας και Κοινωνικών Υποθέσεων περί τροποποίησης και επαναδιατύπωσης της υπό στοιχεία Φ.42000/οικ.2555/353/ 28-02-2012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 12485/1481/06-06-2012 κοινή υπουργική απόφαση (Β’ 1814).</w:t>
      </w:r>
    </w:p>
    <w:p>
      <w:pPr>
        <w:pStyle w:val="StructureList1"/>
        <w:spacing w:before="120" w:after="0"/>
        <w:rPr>
          <w:lang w:val="el" w:eastAsia="el"/>
        </w:rPr>
      </w:pPr>
      <w:r>
        <w:rPr>
          <w:lang w:val="el" w:eastAsia="el"/>
        </w:rPr>
        <w:t>β)</w:t>
      </w:r>
      <w:r>
        <w:rPr>
          <w:lang w:val="en" w:eastAsia="en"/>
        </w:rPr>
        <w:tab/>
      </w:r>
      <w:r>
        <w:rPr>
          <w:lang w:val="el" w:eastAsia="el"/>
        </w:rPr>
        <w:t>Από την 01-10-2022 πρόσθετη συμμετοχή στις εργαστηριακές και διαγνωστικές εξετάσεις και πράξεις, στα νοσήλια σε ιδιωτικές κλινικές και στις λοιπές παροχές, όπως αυτές περιγράφονται στον ΕΚΠΥ του Ε.Ο.Π.Υ.Υ. του πολίτη, ο οποίος δεν είναι εγγεγραμμένος σε Προσωπικό Ιατρό, κατά ποσοστό δέκα τοις εκατό (10%), επιπλέον του καθορισμένου κατά περίπτωση ποσοστού συμμετοχής του σύμφωνα με την υπό στοιχεία ΕΑΛΕ/Γ.Π. 80157/2018 κοινή απόφαση των Αναπληρωτών Υπουργών Οικονομικών και Υγείας «Τροποποίηση και αντικατάσταση της υπ’ αρ.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pStyle w:val="StructureList1"/>
        <w:spacing w:before="120" w:after="0"/>
        <w:rPr>
          <w:lang w:val="el" w:eastAsia="el"/>
        </w:rPr>
      </w:pPr>
      <w:r>
        <w:rPr>
          <w:lang w:val="el" w:eastAsia="el"/>
        </w:rPr>
        <w:t>γ)</w:t>
      </w:r>
      <w:r>
        <w:rPr>
          <w:lang w:val="en" w:eastAsia="en"/>
        </w:rPr>
        <w:tab/>
      </w:r>
      <w:r>
        <w:rPr>
          <w:lang w:val="el" w:eastAsia="el"/>
        </w:rPr>
        <w:t>Από την 01-01-2023 τα ανωτέρω υπό (α) και (β) προβλεπόμενα προσαυξάνονται κατά ποσοστό δέκα τοις εκατό (10%), επιπλέον της άνω πρόσθετης συμμετοχής επί του καθορισμένου κατά περίπτωση ποσοστού συμμετοχής του στην φαρμακευτική δαπάνη και στις εργαστηριακές και διαγνωστικές εξετάσεις και πράξεις, στα νοσήλια σε ιδιωτικές κλινικές και στις λοιπές παροχές, όπως αυτές περιγράφονται στον ΕΚΠΥ του Ε.Ο.Π.Υ.Υ. του πολίτη, ανερχόμενα σε ποσοστό είκοσι τοις εκατό (20%) επί του καθορισμένου κατά περίπτωση ποσοστού συμμετοχής του.</w:t>
      </w:r>
    </w:p>
    <w:p>
      <w:pPr>
        <w:spacing w:before="240" w:after="240"/>
        <w:rPr>
          <w:lang w:val="el" w:eastAsia="el"/>
        </w:rPr>
      </w:pPr>
      <w:r>
        <w:rPr>
          <w:lang w:val="el" w:eastAsia="el"/>
        </w:rPr>
        <w:t>ΙΙ.Α. Τον καθορισμό και την εξειδίκευση του συστήματος κινήτρων για την τήρηση της διαδικασίας του συστήματος παραπομπών από τον προσωπικό ιατρό συνιστάμενο στην χορήγηση από την 01-09-2023 προτεραιότητας στους τηρούντες τη διαδικασία των παραπομπών πολίτες, κατά την παραπομπή τους στους ιατρούς ειδικοτήτων των Κέντρων Υγείας, τις δημόσιες δομές δευτεροβάθμιας και τριτοβάθμιας φροντίδας υγείας και τους συμβεβλημένους με τον Ε.Ο.Π.Υ.Υ. παρόχους υπηρεσιών υγείας.</w:t>
      </w:r>
    </w:p>
    <w:p>
      <w:pPr>
        <w:spacing w:before="240" w:after="240"/>
        <w:rPr>
          <w:lang w:val="el" w:eastAsia="el"/>
        </w:rPr>
      </w:pPr>
      <w:r>
        <w:rPr>
          <w:lang w:val="el" w:eastAsia="el"/>
        </w:rPr>
        <w:t>ΙΙ.Β. Τον καθορισμό και την εξειδίκευση του συστήματος συνεπειών «αντικινήτρων» για τη μη τήρηση της διαδικασίας του συστήματος παραπομπών από τον προσωπικό ιατρό από την 01-09-2023 συνιστάμενο στην εξυπηρέτηση από τις μονάδες δευτεροβάθμιας και τριτοβάθμιας φροντίδας υγείας μόνο των έκτακτων περιστατικών.</w:t>
      </w:r>
    </w:p>
    <w:p>
      <w:pPr>
        <w:spacing w:before="240" w:after="240"/>
        <w:rPr>
          <w:lang w:val="el" w:eastAsia="el"/>
        </w:rPr>
      </w:pPr>
      <w:r>
        <w:rPr>
          <w:lang w:val="el" w:eastAsia="el"/>
        </w:rPr>
        <w:t>ΙΙΙ. Εάν ο πολίτης δεν τηρεί το σύστημα των Παραπομπών και δεν είναι εγγεγραμμένος σε προσωπικό ιατρό, τότε συντρέχουν στο πρόσωπό του σωρευτικά οι συνέπειες «αντικίνητρα» τόσο της περ. Ι.Β., όσο και της περ. ΙΙ.Β.</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Οικονομικών</w:t>
      </w:r>
    </w:p>
    <w:p>
      <w:pPr>
        <w:spacing w:before="240" w:after="240"/>
        <w:rPr>
          <w:lang w:val="el" w:eastAsia="el"/>
        </w:rPr>
      </w:pPr>
      <w:r>
        <w:rPr>
          <w:b/>
          <w:bCs/>
          <w:lang w:val="el" w:eastAsia="el"/>
        </w:rPr>
        <w:t>ΧΡΗΣΤΟΣ ΘΕΟΔΩΡΟΣ ΣΤΑΪΚΟΥΡΑΣ ΣΚΥΛΑΚΑΚΗΣ</w:t>
      </w:r>
    </w:p>
    <w:p>
      <w:pPr>
        <w:spacing w:before="240" w:after="240"/>
        <w:rPr>
          <w:lang w:val="el" w:eastAsia="el"/>
        </w:rPr>
      </w:pPr>
      <w:r>
        <w:rPr>
          <w:lang w:val="el" w:eastAsia="el"/>
        </w:rPr>
        <w:t>Εργασίας και Κοινωνικών Υποθέσεων Υγείας</w:t>
      </w:r>
    </w:p>
    <w:p>
      <w:pPr>
        <w:spacing w:before="240" w:after="240"/>
        <w:rPr>
          <w:lang w:val="el" w:eastAsia="el"/>
        </w:rPr>
      </w:pPr>
      <w:r>
        <w:rPr>
          <w:b/>
          <w:bCs/>
          <w:lang w:val="el" w:eastAsia="el"/>
        </w:rPr>
        <w:t>ΚΩΝΣΤΑΝΤΙΝΟΣ ΑΘΑΝΑΣΙΟΣ</w:t>
      </w:r>
    </w:p>
    <w:p>
      <w:pPr>
        <w:spacing w:before="240" w:after="240"/>
        <w:rPr>
          <w:lang w:val="el" w:eastAsia="el"/>
        </w:rPr>
      </w:pPr>
      <w:r>
        <w:rPr>
          <w:b/>
          <w:bCs/>
          <w:lang w:val="el" w:eastAsia="el"/>
        </w:rPr>
        <w:t>ΧΑΤΖΗΔΑΚΗΣ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