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934/175241</w:t>
      </w:r>
    </w:p>
    <w:p>
      <w:pPr>
        <w:pStyle w:val="PreambelText"/>
        <w:spacing w:before="240" w:after="240"/>
        <w:rPr>
          <w:lang w:val="el" w:eastAsia="el"/>
        </w:rPr>
      </w:pPr>
      <w:r>
        <w:rPr>
          <w:b/>
          <w:bCs/>
          <w:lang w:val="el" w:eastAsia="el"/>
        </w:rPr>
        <w:t>Χορήγηση ενισχύσεων στον τομέα της παραγωγής γεωργικών προϊόντων σε αγρότες και αγροτικές επιχειρήσεις που επλήγησαν από την πανδημία σε όλη την Επικράτεια, στο πλαίσιο της Ανακοίνωσης C(2020) 1863/19.3.2020.</w:t>
      </w:r>
    </w:p>
    <w:p>
      <w:pPr>
        <w:pStyle w:val="PreambelText"/>
        <w:spacing w:before="240" w:after="240"/>
        <w:rPr>
          <w:lang w:val="el" w:eastAsia="el"/>
        </w:rPr>
      </w:pPr>
      <w:r>
        <w:rPr>
          <w:b/>
          <w:bCs/>
          <w:lang w:val="el" w:eastAsia="el"/>
        </w:rPr>
        <w:t>ΟΙ ΥΠΟΥΡΓΟΙ ΟΙΚΟΝΟΜΙΚΩΝ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Την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β)</w:t>
      </w:r>
      <w:r>
        <w:rPr>
          <w:lang w:val="en" w:eastAsia="en"/>
        </w:rPr>
        <w:tab/>
      </w:r>
      <w:r>
        <w:rPr>
          <w:lang w:val="el" w:eastAsia="el"/>
        </w:rPr>
        <w:t>το άρθρο 218 του ν. 4920/2022 (Α’ 74),</w:t>
      </w:r>
    </w:p>
    <w:p>
      <w:pPr>
        <w:pStyle w:val="StructureList1"/>
        <w:spacing w:before="120" w:after="0"/>
        <w:rPr>
          <w:lang w:val="el" w:eastAsia="el"/>
        </w:rPr>
      </w:pPr>
      <w:r>
        <w:rPr>
          <w:lang w:val="el" w:eastAsia="el"/>
        </w:rPr>
        <w:t>γ)</w:t>
      </w:r>
      <w:r>
        <w:rPr>
          <w:lang w:val="en" w:eastAsia="en"/>
        </w:rPr>
        <w:tab/>
      </w:r>
      <w:r>
        <w:rPr>
          <w:lang w:val="el" w:eastAsia="el"/>
        </w:rPr>
        <w:t>τα άρθρα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 άρθρο 11 του Κώδικα Διοικητικής Διαδικασίας (ν. 2690/1999 , Α’ 45),</w:t>
      </w:r>
    </w:p>
    <w:p>
      <w:pPr>
        <w:pStyle w:val="StructureList1"/>
        <w:spacing w:before="120" w:after="0"/>
        <w:rPr>
          <w:lang w:val="el" w:eastAsia="el"/>
        </w:rPr>
      </w:pPr>
      <w:r>
        <w:rPr>
          <w:lang w:val="el" w:eastAsia="el"/>
        </w:rPr>
        <w:t>ε)</w:t>
      </w:r>
      <w:r>
        <w:rPr>
          <w:lang w:val="en" w:eastAsia="en"/>
        </w:rPr>
        <w:tab/>
      </w:r>
      <w:r>
        <w:rPr>
          <w:lang w:val="el" w:eastAsia="el"/>
        </w:rPr>
        <w:t>το άρθρο 90 του Κώδικα της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 άρθρο 36 του ν. 4351/2015 «Βοσκήσιμες γαίες Ελλάδας και άλλες διατάξεις» (Α’ 164).</w:t>
      </w:r>
    </w:p>
    <w:p>
      <w:pPr>
        <w:pStyle w:val="PreambelText"/>
        <w:spacing w:before="240" w:after="240"/>
        <w:rPr>
          <w:lang w:val="el" w:eastAsia="el"/>
        </w:rPr>
      </w:pPr>
      <w:r>
        <w:rPr>
          <w:lang w:val="el" w:eastAsia="el"/>
        </w:rPr>
        <w:t>2.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8/2022 «Διορισμός Υπουργού Αγροτικής Ανάπτυξης και Τροφίμων» (Α’ 19).</w:t>
      </w:r>
    </w:p>
    <w:p>
      <w:pPr>
        <w:pStyle w:val="PreambelText"/>
        <w:spacing w:before="240" w:after="240"/>
        <w:rPr>
          <w:lang w:val="el" w:eastAsia="el"/>
        </w:rPr>
      </w:pPr>
      <w:r>
        <w:rPr>
          <w:lang w:val="el" w:eastAsia="el"/>
        </w:rPr>
        <w:t>7.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Τα άρθρα 13-29 του ν. 2637/1998 «Σύστασης Οργανισμού Πληρωμών κι Ελέγχου Κοινοτικών Ενισχύσεων Προσανατολισμού κι Εγγυήσεων (Ο.Π.Ε.Κ.Ε.Π.Ε.)» (Α’ 200).</w:t>
      </w:r>
    </w:p>
    <w:p>
      <w:pPr>
        <w:pStyle w:val="PreambelText"/>
        <w:spacing w:before="240" w:after="240"/>
        <w:rPr>
          <w:lang w:val="el" w:eastAsia="el"/>
        </w:rPr>
      </w:pPr>
      <w:r>
        <w:rPr>
          <w:lang w:val="el" w:eastAsia="el"/>
        </w:rPr>
        <w:t>9. Την υπ’ αρ. 271562/08.08.2002 απόφαση του Υπουργού Γεωργίας «Έγκριση του ΟΠΕΚΕΠΕ ως Οργανισμού Πληρωμής από 1-9-2002» (Β’ 1042).</w:t>
      </w:r>
    </w:p>
    <w:p>
      <w:pPr>
        <w:pStyle w:val="PreambelText"/>
        <w:spacing w:before="240" w:after="240"/>
        <w:rPr>
          <w:lang w:val="el" w:eastAsia="el"/>
        </w:rPr>
      </w:pPr>
      <w:r>
        <w:rPr>
          <w:lang w:val="el" w:eastAsia="el"/>
        </w:rPr>
        <w:t>10. Την υπό στοιχεία C(2020) 1863/19.3.2020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ιδίως το τμήμα 3.1 (εφεξής Προσωρινό Πλαίσιο).</w:t>
      </w:r>
    </w:p>
    <w:p>
      <w:pPr>
        <w:pStyle w:val="PreambelText"/>
        <w:spacing w:before="240" w:after="240"/>
        <w:rPr>
          <w:lang w:val="el" w:eastAsia="el"/>
        </w:rPr>
      </w:pPr>
      <w:r>
        <w:rPr>
          <w:lang w:val="el" w:eastAsia="el"/>
        </w:rPr>
        <w:t>11. Το άρθρο 2 σημείο 14 και το Παράρτημα Ι του Κανονισμού (ΕΕ)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(EE L 193 της 1- 7-2014).</w:t>
      </w:r>
    </w:p>
    <w:p>
      <w:pPr>
        <w:pStyle w:val="PreambelText"/>
        <w:spacing w:before="240" w:after="240"/>
        <w:rPr>
          <w:lang w:val="el" w:eastAsia="el"/>
        </w:rPr>
      </w:pPr>
      <w:r>
        <w:rPr>
          <w:lang w:val="el" w:eastAsia="el"/>
        </w:rPr>
        <w:t>12. Το άρθρο 2 σημείο 18 και το Παράρτημα Ι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(EE L 187 της 26.6.2014).</w:t>
      </w:r>
    </w:p>
    <w:p>
      <w:pPr>
        <w:pStyle w:val="PreambelText"/>
        <w:spacing w:before="240" w:after="240"/>
        <w:rPr>
          <w:lang w:val="el" w:eastAsia="el"/>
        </w:rPr>
      </w:pPr>
      <w:r>
        <w:rPr>
          <w:lang w:val="el" w:eastAsia="el"/>
        </w:rPr>
        <w:t>13. Την υπό στοιχεία 59886/ΕΥΚΕ913/11.06.2020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14. Το υπό στοιχεία C (2022) 2165 final/2022 έγγραφο της Ευρωπαϊκής Επιτροπής περί εγκρίσεως της κρατικής ενίσχυσης SA.102304 (2022/N)-Greece/01-04-2022.</w:t>
      </w:r>
    </w:p>
    <w:p>
      <w:pPr>
        <w:pStyle w:val="PreambelText"/>
        <w:spacing w:before="240" w:after="240"/>
        <w:rPr>
          <w:lang w:val="el" w:eastAsia="el"/>
        </w:rPr>
      </w:pPr>
      <w:r>
        <w:rPr>
          <w:lang w:val="el" w:eastAsia="el"/>
        </w:rPr>
        <w:t>15. Το υπ’ αρ. 262/120579/9.05.2022 έγγραφο του Υπηρεσιακού Γραμματέα του Υπουργείου Αγροτικής Ανάπτυξης και Τροφίμων.</w:t>
      </w:r>
    </w:p>
    <w:p>
      <w:pPr>
        <w:pStyle w:val="PreambelText"/>
        <w:spacing w:before="240" w:after="240"/>
        <w:rPr>
          <w:lang w:val="el" w:eastAsia="el"/>
        </w:rPr>
      </w:pPr>
      <w:r>
        <w:rPr>
          <w:lang w:val="el" w:eastAsia="el"/>
        </w:rPr>
        <w:t>16. Το από 23.05.2022 μήνυμα ηλεκτρονικού ταχυδρομείου της Κεντρικής Μονάδας Κρατικών Ενισχύσεων ΚΕΜΚΕ.</w:t>
      </w:r>
    </w:p>
    <w:p>
      <w:pPr>
        <w:pStyle w:val="PreambelText"/>
        <w:spacing w:before="240" w:after="240"/>
        <w:rPr>
          <w:lang w:val="el" w:eastAsia="el"/>
        </w:rPr>
      </w:pPr>
      <w:r>
        <w:rPr>
          <w:lang w:val="el" w:eastAsia="el"/>
        </w:rPr>
        <w:t>17. Την υπ’ αρ. 797/130728/17.05.2022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18. Την υπ’ αρ. 931/174208/22.6.2022 κοινή απόφαση των Υπουργών Οικονομικών και Αγροτικής Ανάπτυξης και Τροφίμων (Β’3235).</w:t>
      </w:r>
    </w:p>
    <w:p>
      <w:pPr>
        <w:pStyle w:val="PreambelText"/>
        <w:spacing w:before="240" w:after="240"/>
        <w:rPr>
          <w:lang w:val="el" w:eastAsia="el"/>
        </w:rPr>
      </w:pPr>
      <w:r>
        <w:rPr>
          <w:lang w:val="el" w:eastAsia="el"/>
        </w:rPr>
        <w:t>19. Το γεγονός ότι η παρατεταμένη διάρκεια της πανδημίας διαμόρφωσε εξαιρετικά δυσμενείς συνθήκες λειτουργίας συνολικά στον πρωτογενή τομέα και προκειμένου, μεταξύ άλλων, να διασφαλιστεί η συνέχιση λειτουργίας των μικρομεσαίων επιχειρήσεων αλλά και των μεμονωμένων αγροτών, προτείνεται μέτρο στοχευμένης δημόσιας στήριξης, ώστε να διατηρηθεί η συνέχιση της οικονομικής τους δραστηριότητας, τόσο κατά την διάρκεια της, όσο και μετά το κρίσιμο διάστημα μετά από αυτήν.</w:t>
      </w:r>
    </w:p>
    <w:p>
      <w:pPr>
        <w:pStyle w:val="PreambelText"/>
        <w:spacing w:before="240" w:after="240"/>
        <w:rPr>
          <w:lang w:val="el" w:eastAsia="el"/>
        </w:rPr>
      </w:pPr>
      <w:r>
        <w:rPr>
          <w:lang w:val="el" w:eastAsia="el"/>
        </w:rPr>
        <w:t>20.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Θέσπιση καθεστώτος ενισχύσεων σύμφωνα με το Προσωρινό Πλαίσιο με την υπό στοιχεία</w:t>
      </w:r>
    </w:p>
    <w:p>
      <w:pPr>
        <w:spacing w:before="240" w:after="240"/>
        <w:rPr>
          <w:lang w:val="el" w:eastAsia="el"/>
        </w:rPr>
      </w:pPr>
      <w:r>
        <w:rPr>
          <w:lang w:val="el" w:eastAsia="el"/>
        </w:rPr>
        <w:t>SA.102304 απόφαση της Ευρωπαϊκής Επιτροπής</w:t>
      </w:r>
    </w:p>
    <w:p>
      <w:pPr>
        <w:pStyle w:val="MainText"/>
        <w:spacing w:before="120" w:after="0"/>
        <w:rPr>
          <w:lang w:val="el" w:eastAsia="el"/>
        </w:rPr>
      </w:pPr>
      <w:r>
        <w:rPr>
          <w:b/>
          <w:bCs/>
          <w:lang w:val="el" w:eastAsia="el"/>
        </w:rPr>
        <w:t>1.</w:t>
      </w:r>
      <w:r>
        <w:rPr>
          <w:lang w:val="el" w:eastAsia="el"/>
        </w:rPr>
        <w:t xml:space="preserve"> Με την παρούσα θεσπίζεται καθεστώς χορήγησης ενισχύσεων στον τομέα παραγωγής γεωργικών προϊόντων/πρωτογενή τομέα, κατ’ εφαρμογή της υπό στοιχεία SA.102304 (2022/N)- Greece/C(2022)2165 final απόφασης της ΕΕ.</w:t>
      </w:r>
    </w:p>
    <w:p>
      <w:pPr>
        <w:pStyle w:val="MainText"/>
        <w:spacing w:before="120" w:after="0"/>
        <w:rPr>
          <w:lang w:val="el" w:eastAsia="el"/>
        </w:rPr>
      </w:pPr>
      <w:r>
        <w:rPr>
          <w:b/>
          <w:bCs/>
          <w:lang w:val="el" w:eastAsia="el"/>
        </w:rPr>
        <w:t>2.</w:t>
      </w:r>
      <w:r>
        <w:rPr>
          <w:lang w:val="el" w:eastAsia="el"/>
        </w:rPr>
        <w:t xml:space="preserve"> Δυνητικοί δικαιούχοι της ενίσχυσης είναι αγρότες, φυσικά και νομικά πρόσωπα όλης της επικράτειας, οι οποίοι έχουν υποστεί σοβαρή μείωση του εισοδήματός τους λόγω της πανδημίας του κορωνοϊού και περιλαμβάνονται στον κατάλογο του εγγράφου του σημείου 15 του προοιμίου.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14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(EE L 193 της 1-7-2014) και του άρθρου 2 σημείο 18 και του παραρτήματος 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(EE L 187 της 26-6-2014).</w:t>
      </w:r>
    </w:p>
    <w:p>
      <w:pPr>
        <w:pStyle w:val="MainText"/>
        <w:spacing w:before="120" w:after="0"/>
        <w:rPr>
          <w:lang w:val="el" w:eastAsia="el"/>
        </w:rPr>
      </w:pPr>
      <w:r>
        <w:rPr>
          <w:b/>
          <w:bCs/>
          <w:lang w:val="el" w:eastAsia="el"/>
        </w:rPr>
        <w:t>2.</w:t>
      </w:r>
      <w:r>
        <w:rPr>
          <w:lang w:val="el" w:eastAsia="el"/>
        </w:rPr>
        <w:t xml:space="preserve">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3.</w:t>
      </w:r>
      <w:r>
        <w:rPr>
          <w:lang w:val="el" w:eastAsia="el"/>
        </w:rPr>
        <w:t xml:space="preserve"> Μικρομεσαίες Επιχειρήσεις (ΜΜΕ): οι επιχειρήσεις που πληρούν τα κριτήρια που ορίζονται στο παράρτημα I των Κανονισμών 702/2014 και 651/2014.</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Οι επιχειρήσεις που δεν πληρούν τα κριτήρια που ορίζονται στο παράρτημα Ι του Κανονισμού (ΕΕ) αριθ. 702/2014, θεωρούνται μεγάλες.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και Μορφή ενίσχυσης - Έλεγχος Σώρευσης</w:t>
      </w:r>
    </w:p>
    <w:p>
      <w:pPr>
        <w:pStyle w:val="MainText"/>
        <w:spacing w:before="120" w:after="0"/>
        <w:rPr>
          <w:lang w:val="el" w:eastAsia="el"/>
        </w:rPr>
      </w:pPr>
      <w:r>
        <w:rPr>
          <w:b/>
          <w:bCs/>
          <w:lang w:val="el" w:eastAsia="el"/>
        </w:rPr>
        <w:t>1.</w:t>
      </w:r>
      <w:r>
        <w:rPr>
          <w:lang w:val="el" w:eastAsia="el"/>
        </w:rPr>
        <w:t xml:space="preserve"> Το ποσό ενίσχυσης που χορηγείται στον καθένα από τους δυνητικούς δικαιούχους ισούται με το ποσό που περιλαμβάνεται στον κατάλογο της παρ. 2 του άρθρου 1, με την επιφύλαξη μη υπέρβασης του ορίου της παρ. 2 του παρόντος άρθρου.</w:t>
      </w:r>
    </w:p>
    <w:p>
      <w:pPr>
        <w:pStyle w:val="MainText"/>
        <w:spacing w:before="120" w:after="0"/>
        <w:rPr>
          <w:lang w:val="el" w:eastAsia="el"/>
        </w:rPr>
      </w:pPr>
      <w:r>
        <w:rPr>
          <w:b/>
          <w:bCs/>
          <w:lang w:val="el" w:eastAsia="el"/>
        </w:rPr>
        <w:t>2.</w:t>
      </w:r>
      <w:r>
        <w:rPr>
          <w:lang w:val="el" w:eastAsia="el"/>
        </w:rPr>
        <w:t xml:space="preserve"> Το ανώτατο όριο ενίσχυσης για κάθε δικαιούχο σε επίπεδο ενιαίας επιχείρησης, ορίζεται στο ποσό των διακοσίων ενενήντα χιλιάδων Ευρώ (290.000 €), συμπεριλαμβανόμενων τυχόν άλλων ενισχύσεων που έχει λάβει ο δικαιούχος δυνάμει του Τμήματος 3.1 του Προσωρινού Πλαισίου. Σε περίπτωση υπέρβασης το υπερβάλλον ποσό περικόπτεται αναλόγως. Όλα τα ποσά είναι μικτά προ αφαίρεσης φόρων ή άλλων χρεώσεων.</w:t>
      </w:r>
    </w:p>
    <w:p>
      <w:pPr>
        <w:pStyle w:val="MainText"/>
        <w:spacing w:before="120" w:after="0"/>
        <w:rPr>
          <w:lang w:val="el" w:eastAsia="el"/>
        </w:rPr>
      </w:pPr>
      <w:r>
        <w:rPr>
          <w:b/>
          <w:bCs/>
          <w:lang w:val="el" w:eastAsia="el"/>
        </w:rPr>
        <w:t>3.</w:t>
      </w:r>
      <w:r>
        <w:rPr>
          <w:lang w:val="el" w:eastAsia="el"/>
        </w:rPr>
        <w:t xml:space="preserve"> Οι ενισχύσεις της παρούσας καταβάλλονται αποκλειστικά μέσω συμψηφισμού με τις βεβαιωμένες οφειλές των υπόχρεων της υπ’ αρ. 931/174208/22.6.2022 κοινής υπουργικής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χορήγησης της ενίσχυσης</w:t>
      </w:r>
    </w:p>
    <w:p>
      <w:pPr>
        <w:pStyle w:val="MainText"/>
        <w:spacing w:before="120" w:after="0"/>
        <w:rPr>
          <w:lang w:val="el" w:eastAsia="el"/>
        </w:rPr>
      </w:pPr>
      <w:r>
        <w:rPr>
          <w:b/>
          <w:bCs/>
          <w:lang w:val="el" w:eastAsia="el"/>
        </w:rPr>
        <w:t>1.</w:t>
      </w:r>
      <w:r>
        <w:rPr>
          <w:lang w:val="el" w:eastAsia="el"/>
        </w:rPr>
        <w:t xml:space="preserve"> Προϋποθέσεις για τη χορήγηση της ενίσχυσης στους δικαιούχους του άρθρου 1,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οι μεγάλες και οι μεσαίες επιχειρήσεις να μην ήταν προβληματικές κατά την έννοια των Κανονισμών 702/2014 και 651/2014 στις 31 Δεκεμβρίου 2019 και του Κανονισμού ΕΚ 1388/2014, και</w:t>
      </w:r>
    </w:p>
    <w:p>
      <w:pPr>
        <w:pStyle w:val="StructureList1"/>
        <w:spacing w:before="120" w:after="0"/>
        <w:rPr>
          <w:lang w:val="el" w:eastAsia="el"/>
        </w:rPr>
      </w:pPr>
      <w:r>
        <w:rPr>
          <w:lang w:val="el" w:eastAsia="el"/>
        </w:rPr>
        <w:t>β)</w:t>
      </w:r>
      <w:r>
        <w:rPr>
          <w:lang w:val="en" w:eastAsia="en"/>
        </w:rPr>
        <w:tab/>
      </w:r>
      <w:r>
        <w:rPr>
          <w:lang w:val="el" w:eastAsia="el"/>
        </w:rPr>
        <w:t>οι μικρές και πολύ μικρές επιχειρήσεις, ακόμα και αν ήταν προβληματικές την 31.12.2019, κατά τη στιγμή χορήγηση της ενίσχυσης:</w:t>
      </w:r>
    </w:p>
    <w:p>
      <w:pPr>
        <w:pStyle w:val="StructureList1"/>
        <w:spacing w:before="120" w:after="0"/>
        <w:rPr>
          <w:lang w:val="el" w:eastAsia="el"/>
        </w:rPr>
      </w:pPr>
      <w:r>
        <w:rPr>
          <w:lang w:val="el" w:eastAsia="el"/>
        </w:rPr>
        <w:t>βα)</w:t>
      </w:r>
      <w:r>
        <w:rPr>
          <w:lang w:val="en" w:eastAsia="en"/>
        </w:rPr>
        <w:tab/>
      </w:r>
      <w:r>
        <w:rPr>
          <w:lang w:val="el" w:eastAsia="el"/>
        </w:rPr>
        <w:t>να μην υπάγονται σε συλλογική πτωχευτική διαδικασία ή άλλη διαδικασία αφερεγγυότητας και</w:t>
      </w:r>
    </w:p>
    <w:p>
      <w:pPr>
        <w:pStyle w:val="StructureList1"/>
        <w:spacing w:before="120" w:after="0"/>
        <w:rPr>
          <w:lang w:val="el" w:eastAsia="el"/>
        </w:rPr>
      </w:pPr>
      <w:r>
        <w:rPr>
          <w:lang w:val="el" w:eastAsia="el"/>
        </w:rPr>
        <w:t>ββ)</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pStyle w:val="MainText"/>
        <w:spacing w:before="120" w:after="0"/>
        <w:rPr>
          <w:lang w:val="el" w:eastAsia="el"/>
        </w:rPr>
      </w:pPr>
      <w:r>
        <w:rPr>
          <w:b/>
          <w:bCs/>
          <w:lang w:val="el" w:eastAsia="el"/>
        </w:rPr>
        <w:t>2.</w:t>
      </w:r>
      <w:r>
        <w:rPr>
          <w:lang w:val="el" w:eastAsia="el"/>
        </w:rPr>
        <w:t xml:space="preserve"> Η ενίσχυση δεν καθορίζεται με βάση την τιμή ή την ποσότητα των προϊόντων που διατίθενται στην αγορά.</w:t>
      </w:r>
    </w:p>
    <w:p>
      <w:pPr>
        <w:pStyle w:val="MainText"/>
        <w:spacing w:before="120" w:after="0"/>
        <w:rPr>
          <w:lang w:val="el" w:eastAsia="el"/>
        </w:rPr>
      </w:pPr>
      <w:r>
        <w:rPr>
          <w:b/>
          <w:bCs/>
          <w:lang w:val="el" w:eastAsia="el"/>
        </w:rPr>
        <w:t>3.</w:t>
      </w:r>
      <w:r>
        <w:rPr>
          <w:lang w:val="el" w:eastAsia="el"/>
        </w:rPr>
        <w:t xml:space="preserve"> Σε περίπτωση επιχειρήσεων που δραστηριοποιούνται σε τομείς για τους οποίους ισχύουν διαφορετικά ανώτατα όρια σύμφωνα με τις παρ. 22α και 23α του Προσωρινού Πλαισίου, οι επιχειρήσεις διασφαλίζουν με τήρηση χωριστών λογαριασμών την τήρηση των σχετικών ορίων σύμφωνα με τα οριζόμενα στην παρ. 26 της με αριθ, C(2022) 2165 final απόφασης της Ευρωπαϊκής Επιτροπής (ΕΕ). Κατά τα λοιπά ισχύουν τα οριζόμενα στην ως άνω απόφαση της ΕΕ, ιδίως παρ. 22 - 26 ως προς τη σώρευση ενισχύσεων.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Έλεγχοι</w:t>
      </w:r>
    </w:p>
    <w:p>
      <w:pPr>
        <w:spacing w:before="240" w:after="240"/>
        <w:rPr>
          <w:lang w:val="el" w:eastAsia="el"/>
        </w:rPr>
      </w:pPr>
      <w:r>
        <w:rPr>
          <w:lang w:val="el" w:eastAsia="el"/>
        </w:rPr>
        <w:t>Ο έλεγχος των προϋποθέσεων χορήγησης της ενίσχυσης του άρθρου 4, πραγματοποιείται από τις κατά περίπτωση αρμόδιες υπηρεσίες του ΥΠΑΑΤ, με βάση τα διαθέσιμα σε αυτές στοιχεία.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Υποχρέωση διαφάνειας και άλλες υποχρεώσεις</w:t>
      </w:r>
    </w:p>
    <w:p>
      <w:pPr>
        <w:pStyle w:val="MainText"/>
        <w:spacing w:before="120" w:after="0"/>
        <w:rPr>
          <w:lang w:val="el" w:eastAsia="el"/>
        </w:rPr>
      </w:pPr>
      <w:r>
        <w:rPr>
          <w:b/>
          <w:bCs/>
          <w:lang w:val="el" w:eastAsia="el"/>
        </w:rPr>
        <w:t>1.</w:t>
      </w:r>
      <w:r>
        <w:rPr>
          <w:lang w:val="el" w:eastAsia="el"/>
        </w:rPr>
        <w:t xml:space="preserve"> Οι ενισχύσεις της παρούσας που χορηγούνται δυνάμει του Προσωρινού Πλαισίου αναρτώνται από την Αποκεντρωμένη Μονάδα Κρατικών Ενισχύσεων (ΑΜΚΕ) του ΥπΑΑΤ, στην εφαρμογή της ΕΕ για την διαφάνεια με τίτλο «Transparency Award Module» (ΤΑΜ), εντός ενός έτους από τη χορήγησή τους, σύμφωνα με τα οριζόμενα στο σημείο 103 του Προσωρινού Πλαισίου και στην υποπαρ. Β11 της παρ. Β’ του πρώτου άρθρου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που θα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Εάν κατά τον έλεγχο της επιχείρησης, από τη διοίκηση ή άλλο αρμόδιο όργανο ελέγχου, διαπιστωθεί μη τήρηση των όρων της παρούσας ή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κατά την οποία τέθηκε στην διάθεση του δικαιούχου, σύμφωνα με το επιτόκιο ανάκτησης της Ευρωπαϊκής Επιτροπής.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αρμόδια υπηρεσία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Αγροτικής</w:t>
      </w:r>
    </w:p>
    <w:p>
      <w:pPr>
        <w:spacing w:before="240" w:after="240"/>
        <w:rPr>
          <w:lang w:val="el" w:eastAsia="el"/>
        </w:rPr>
      </w:pPr>
      <w:r>
        <w:rPr>
          <w:lang w:val="el" w:eastAsia="el"/>
        </w:rPr>
        <w:t>Υπουργός Οικονομικών Ανάπτυξης και Τροφίμων</w:t>
      </w:r>
    </w:p>
    <w:p>
      <w:pPr>
        <w:spacing w:before="240" w:after="240"/>
        <w:rPr>
          <w:lang w:val="el" w:eastAsia="el"/>
        </w:rPr>
      </w:pPr>
      <w:r>
        <w:rPr>
          <w:b/>
          <w:bCs/>
          <w:lang w:val="el" w:eastAsia="el"/>
        </w:rPr>
        <w:t>ΘΕΟΔΩΡΟΣ ΣΚΥΛΑΚΑΚΗΣ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