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106 72</w:t>
      </w:r>
    </w:p>
    <w:p>
      <w:pPr>
        <w:pStyle w:val="Title"/>
        <w:spacing w:before="120" w:after="360"/>
        <w:rPr>
          <w:lang w:val="el" w:eastAsia="el"/>
        </w:rPr>
      </w:pPr>
      <w:r>
        <w:rPr>
          <w:b/>
          <w:bCs/>
          <w:lang w:val="el" w:eastAsia="el"/>
        </w:rPr>
        <w:t>210-3635007</w:t>
      </w:r>
    </w:p>
    <w:p>
      <w:pPr>
        <w:pStyle w:val="Title"/>
        <w:spacing w:before="120" w:after="360"/>
        <w:rPr>
          <w:lang w:val="el" w:eastAsia="el"/>
        </w:rPr>
      </w:pPr>
      <w:hyperlink r:id="rId4" w:history="1">
        <w:r>
          <w:rPr>
            <w:rStyle w:val="Hyperlink"/>
            <w:b/>
            <w:bCs/>
            <w:color w:val="0000EE"/>
            <w:u w:color="0000EE"/>
            <w:lang w:val="el" w:eastAsia="el"/>
          </w:rPr>
          <w:t>deispraxeon@aade.gr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Β. ΓΕΝΙΚΗ ΔΙΕΥΘΥΝΣΗ ΤΕΛΩΝΕΙΩΝ &amp; Ε.Φ.Κ.</w:t>
      </w:r>
    </w:p>
    <w:p>
      <w:pPr>
        <w:pStyle w:val="Title"/>
        <w:spacing w:before="120" w:after="36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Γ. ΓΕΝΙΚΗ ΔΙΕΥΘΥΝΣΗ ΗΛΕΚΤΡΟΝΙΚΗΣ ΔΙΑΚΥΒΕΡΝΗΣΗΣ</w:t>
      </w:r>
    </w:p>
    <w:p>
      <w:pPr>
        <w:spacing w:before="240" w:after="240"/>
        <w:rPr>
          <w:lang w:val="el" w:eastAsia="el"/>
        </w:rPr>
      </w:pPr>
      <w:r>
        <w:rPr>
          <w:b/>
          <w:bCs/>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b/>
          <w:bCs/>
          <w:lang w:val="el" w:eastAsia="el"/>
        </w:rPr>
        <w:t xml:space="preserve">2. </w:t>
      </w:r>
      <w:r>
        <w:rPr>
          <w:b/>
          <w:bCs/>
          <w:lang w:val="el" w:eastAsia="el"/>
        </w:rPr>
        <w:t>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b/>
          <w:bCs/>
          <w:lang w:val="el" w:eastAsia="el"/>
        </w:rPr>
        <w:t>ΤΜΗΜΑ Ε΄</w:t>
      </w:r>
      <w:r>
        <w:rPr>
          <w:b/>
          <w:bCs/>
          <w:lang w:val="el" w:eastAsia="el"/>
        </w:rPr>
        <w:t xml:space="preserve"> </w:t>
      </w:r>
    </w:p>
    <w:p>
      <w:pPr>
        <w:pStyle w:val="Heading1"/>
        <w:spacing w:before="240" w:after="240"/>
        <w:rPr>
          <w:lang w:val="el" w:eastAsia="el"/>
        </w:rPr>
      </w:pPr>
      <w:r>
        <w:rPr>
          <w:b/>
          <w:bCs/>
          <w:lang w:val="el" w:eastAsia="el"/>
        </w:rPr>
        <w:t>ΘΕΜΑ: «Τροποποίηση της υπό στοιχεία ΔΠΕΙΣ Α 1120401 ΕΞ 2013/30.07.2013 απόφασης του Υφυπουργού Οικονομικών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(Β΄ 1867)»</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6 του άρθρου 83 του ν.δ. 356/1974 «Περί Κώδικος Εισπράξεως Δημοσίων Εσόδων» (Α΄ 90) (Κ.Ε.Δ.Ε.),</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της παρ. 9 του άρθρου 8 του ν. 4224/2013 </w:t>
      </w:r>
      <w:r>
        <w:rPr>
          <w:b/>
          <w:bCs/>
          <w:lang w:val="el" w:eastAsia="el"/>
        </w:rPr>
        <w:t>«</w:t>
      </w:r>
      <w:r>
        <w:rPr>
          <w:b/>
          <w:bCs/>
          <w:lang w:val="el" w:eastAsia="el"/>
        </w:rPr>
        <w:t>Κυβερνητικό Συμβούλιο Διαχείρισης Ιδιωτικού Χρέους Ελληνικό Επενδυτικό Ταμείο Αξιοποίησης Περιουσίας του Δημοσίου και άλλες επείγουσες διατάξεις» (Α΄ 288),</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1 του άρθρου 2, της παρ. 1 του άρθρου 14 και της υποπερ. ββ της περ. β της παρ. 2, καθώς και της περ. α της παρ. 3 του άρθρου 41 του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2 του άρθρου 48 του ν. 4174/2013 «Κώδικας Φορολογικής Διαδικασίας» (Α΄ 170)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Την υπό στοιχεία ΔΠΕΙΣ Α 1120401 ΕΞ 2013 απόφαση του Υφυπουργού Οικονομικών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(Β΄ 1867), όπως έχει τροποποιηθεί με την υπό στοιχεία ΔΠΕΙΣ Α 1116352 ΕΞ 2014 (Β΄ 2215) απόφαση του Γενικού Γραμματέα Δημοσίων Εσόδων.</w:t>
      </w:r>
    </w:p>
    <w:p>
      <w:pPr>
        <w:spacing w:before="240" w:after="240"/>
        <w:rPr>
          <w:lang w:val="el" w:eastAsia="el"/>
        </w:rPr>
      </w:pPr>
      <w:r>
        <w:rPr>
          <w:b/>
          <w:bCs/>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Την ανάγκη συμπλήρωσης της υπό στοιχεία ΔΠΕΙΣ Α 1120401 ΕΞ 2013/30.7.2013 απόφασης του Υφυπουργού Οικονομικών ως προς τις περιπτώσεις εξαίρεσης από τη διαδικασία αυτεπάγγελτου συμψηφισμού χρηματικών απαιτήσεων οφειλετών έναντι του Δημοσίου με βεβαιωμένα αλλά μη ληξιπρόθεσμα χρέη αυτών προς το Δημόσιο και την αντιμετώπιση προβλημάτων που ανακύπτουν στο πλαίσιο αυτοματοποίησης διαδικασιών διοικητικής εκτέλεσης.</w:t>
      </w:r>
    </w:p>
    <w:p>
      <w:pPr>
        <w:spacing w:before="240" w:after="240"/>
        <w:rPr>
          <w:lang w:val="el" w:eastAsia="el"/>
        </w:rPr>
      </w:pPr>
      <w:r>
        <w:rPr>
          <w:b/>
          <w:bCs/>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Στην υπό στοιχεία ΔΠΕΙΣ Α 1120401 ΕΞ 2013/30.7.2013 απόφαση του Υφυπουργού Οικονομικών, προστίθεται παράγραφος 4, ως εξής:</w:t>
      </w:r>
    </w:p>
    <w:p>
      <w:pPr>
        <w:spacing w:before="240" w:after="240"/>
        <w:rPr>
          <w:lang w:val="el" w:eastAsia="el"/>
        </w:rPr>
      </w:pPr>
      <w:r>
        <w:rPr>
          <w:b/>
          <w:bCs/>
          <w:lang w:val="el" w:eastAsia="el"/>
        </w:rPr>
        <w:t xml:space="preserve">«4 </w:t>
      </w:r>
      <w:r>
        <w:rPr>
          <w:b/>
          <w:bCs/>
          <w:lang w:val="el" w:eastAsia="el"/>
        </w:rPr>
        <w:t>. Χρηματικές απαιτήσεις οφειλετών έναντι του Δημοσίου για επιστροφή ποσών τα οποία αποδίδονται στο Δημόσιο από κατασχέσεις που έχει επιβάλει εις βάρος τους εις χείρας τρίτου εξαιρούνται από τον αυτεπάγγελτο συμψηφισμό με βεβαιωμένες μη ληξιπρόθεσμες κατά το χρόνο της επιστροφής οφειλές, εφόσον η απόδοση από τον τρίτο διενεργήθηκε μετά την απόσβεση των οφειλών για τις οποίες επιβλήθηκε η κατάσχεση.»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Δ’</w:t>
      </w:r>
    </w:p>
    <w:p>
      <w:pPr>
        <w:spacing w:before="240" w:after="240"/>
        <w:rPr>
          <w:lang w:val="el" w:eastAsia="el"/>
        </w:rPr>
      </w:pPr>
      <w:r>
        <w:rPr>
          <w:b/>
          <w:bCs/>
          <w:lang w:val="el" w:eastAsia="el"/>
        </w:rPr>
        <w:t xml:space="preserve">2. </w:t>
      </w:r>
      <w:r>
        <w:rPr>
          <w:b/>
          <w:bCs/>
          <w:lang w:val="el" w:eastAsia="el"/>
        </w:rPr>
        <w:t>Γ.Δ.ΗΛ.ΕΔ.</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 Β, Ε, ΣΤ, Ζ, Η, Θ (εκτός Εθνικού Τυπογραφείου), Ι, ΙΒ, ΙΔ, ΙΕ, ΙΣΤ</w:t>
      </w:r>
    </w:p>
    <w:p>
      <w:pPr>
        <w:spacing w:before="240" w:after="240"/>
        <w:rPr>
          <w:lang w:val="el" w:eastAsia="el"/>
        </w:rPr>
      </w:pPr>
      <w:r>
        <w:rPr>
          <w:b/>
          <w:bCs/>
          <w:lang w:val="el" w:eastAsia="el"/>
        </w:rPr>
        <w:t xml:space="preserve">2. </w:t>
      </w:r>
      <w:r>
        <w:rPr>
          <w:b/>
          <w:bCs/>
          <w:lang w:val="el" w:eastAsia="el"/>
        </w:rPr>
        <w:t>Γραφείο Υφυπουργού Οικονομικών κ. Απ. Βεσυρόπουλου</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Εισπράξεων και Επιστροφών – Τμήματα Α-Ε,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