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206262/Δ.Α.Ε.Φ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την πλημμύρα της 1ης και 2ας Μαρτίου 2022 σε περιοχές των Δήμων Ηρακλείου και Χερσονήσου της Περιφερειακής Ενότητας Ηρακλείου της Περιφέρειας Κρήτης.</w:t>
      </w:r>
    </w:p>
    <w:p>
      <w:pPr>
        <w:spacing w:before="240" w:after="240"/>
        <w:rPr>
          <w:lang w:val="el" w:eastAsia="el"/>
        </w:rPr>
      </w:pPr>
      <w:r>
        <w:rPr>
          <w:b/>
          <w:bCs/>
          <w:lang w:val="el" w:eastAsia="el"/>
        </w:rPr>
        <w:t>ΟΙ ΥΠΟΥΡΓΟΙ ΟΙΚΟΝΟΜΙΚΩΝ - ΑΝΑΠΤΥΞΗΣ</w:t>
      </w:r>
    </w:p>
    <w:p>
      <w:pPr>
        <w:spacing w:before="240" w:after="240"/>
        <w:rPr>
          <w:lang w:val="el" w:eastAsia="el"/>
        </w:rPr>
      </w:pPr>
      <w:r>
        <w:rPr>
          <w:b/>
          <w:bCs/>
          <w:lang w:val="el" w:eastAsia="el"/>
        </w:rPr>
        <w:t>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 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5/2022 «Οργανισμός Υπουργείου Ανάπτυξης και Επενδύσεων» (Α’ 15),</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 2607), 18. του π.δ. 68/2021 «Διορισμός Υπουργών, Αναπληρώτριας Υπουργού και Υφυπουργών» (Α’ 155),</w:t>
      </w:r>
    </w:p>
    <w:p>
      <w:pPr>
        <w:spacing w:before="240" w:after="240"/>
        <w:rPr>
          <w:lang w:val="el" w:eastAsia="el"/>
        </w:rPr>
      </w:pPr>
      <w:r>
        <w:rPr>
          <w:lang w:val="el" w:eastAsia="el"/>
        </w:rPr>
        <w:t>19. της υπ’ αρ.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οικ. 11756/Δ5/16-10- 2018 (Β’ 4776, διόρθωση σφάλματος Β’5988) απόφασης του Υπουργού Υποδομών και Μεταφορών,</w:t>
      </w:r>
    </w:p>
    <w:p>
      <w:pPr>
        <w:spacing w:before="240" w:after="240"/>
        <w:rPr>
          <w:lang w:val="el" w:eastAsia="el"/>
        </w:rPr>
      </w:pPr>
      <w:r>
        <w:rPr>
          <w:lang w:val="el" w:eastAsia="el"/>
        </w:rPr>
        <w:t>23.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w:t>
      </w:r>
    </w:p>
    <w:p>
      <w:pPr>
        <w:spacing w:before="240" w:after="240"/>
        <w:rPr>
          <w:lang w:val="el" w:eastAsia="el"/>
        </w:rPr>
      </w:pPr>
      <w:r>
        <w:rPr>
          <w:lang w:val="el" w:eastAsia="el"/>
        </w:rPr>
        <w:t>25. της υπ’ αρ. 298879/26.10.2021 απόφασης του Υπουργού Υποδομών και Μεταφορών «Σύσταση Τομέα Αποκατάστασης Επιπτώσεων Φυσικών Καταστροφών Περιφερειακής Ενότητας Ηρακλείου (Τ.Α.Ε.Φ.Κ. Π.Ε. Ηρακλείου) στην Περιφέρεια Κρήτης» (Β’ 5056),</w:t>
      </w:r>
    </w:p>
    <w:p>
      <w:pPr>
        <w:spacing w:before="240" w:after="240"/>
        <w:rPr>
          <w:lang w:val="el" w:eastAsia="el"/>
        </w:rPr>
      </w:pPr>
      <w:r>
        <w:rPr>
          <w:lang w:val="el" w:eastAsia="el"/>
        </w:rPr>
        <w:t>26.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27.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28.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29.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30.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29.150 €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9.600 €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οικ. 112/03.03.2022 έγγραφο της Αυτοτελούς Διεύθυνσης Πολιτικής Προστασίας της Περιφέρειας Κρήτης, με το οποίο γνωστοποιήθηκε η εκδήλωση πλημμυρικών φαινομένων στις 1 και 2 Μαρτίου 2022 στην Περιφέρεια Κρήτης,</w:t>
      </w:r>
    </w:p>
    <w:p>
      <w:pPr>
        <w:spacing w:before="240" w:after="240"/>
        <w:rPr>
          <w:lang w:val="el" w:eastAsia="el"/>
        </w:rPr>
      </w:pPr>
      <w:r>
        <w:rPr>
          <w:lang w:val="el" w:eastAsia="el"/>
        </w:rPr>
        <w:t>2. το υπ’ αρ. 220/15.04.2022 αίτημα της Αυτοτελούς Διεύθυνσης Πολιτικής Προστασίας της Περιφέρειας Κρήτης, για οριοθέτηση πληγεισών περιοχών της Περιφερειακής Ενότητας Ηρακλείου της Περιφέρειας Κρήτης μετά την εκδήλωση πλημμύρας στις 1 και 2 Μαρτίου 2022, με τα συνημμένα του,</w:t>
      </w:r>
    </w:p>
    <w:p>
      <w:pPr>
        <w:spacing w:before="240" w:after="240"/>
        <w:rPr>
          <w:lang w:val="el" w:eastAsia="el"/>
        </w:rPr>
      </w:pPr>
      <w:r>
        <w:rPr>
          <w:lang w:val="el" w:eastAsia="el"/>
        </w:rPr>
        <w:t>3. το από 09.05.2022 ηλεκτρονικό μήνυμα της Αυτοτελούς Διεύθυνσης Πολιτικής Προστασίας της Περιφέρειας Κρήτης, που αφορά στην αποστολή φωτογραφιών σχετικά με τις επιχειρήσεις που επλήγησαν από την πλημμύρα στις 1 και 2 Μαρτίου 2022,</w:t>
      </w:r>
    </w:p>
    <w:p>
      <w:pPr>
        <w:spacing w:before="240" w:after="240"/>
        <w:rPr>
          <w:lang w:val="el" w:eastAsia="el"/>
        </w:rPr>
      </w:pPr>
      <w:r>
        <w:rPr>
          <w:lang w:val="el" w:eastAsia="el"/>
        </w:rPr>
        <w:t>4. το υπ’ αρ. 175622/06.06.2022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την υπ’ αρ. 176111/06.06.2022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των Δήμων Ηρακλείου και Χερσονήσου της Περιφερειακής Ενότητας Ηρακλείου της Περιφέρειας Κρήτης, που επλήγησαν από την πλημμύρα της 1ης και 2ας Μαρτίου 2022, 7. το γεγονός ότι η πλημμύρα της 1ης και 2ας Μαρτίου 2022 που εκδηλώθηκε σε περιοχές των Δήμων Ηρακλείου και Χερσονήσου της Περιφερειακής Ενότητας Ηρακλείου της Περιφέρειας Κρήτης, ορίζεται ως φυσική καταστροφή, και επειδή, από την πλημμύρα της 1ης και 2ας Μαρτίου 2022 σε περιοχές των Δήμων Ηρακλείου και Χερσονήσου της Περιφερειακής Ενότητας Ηρακλείου της Περιφέρειας Κρήτης,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πλημμύρα του θέματος, η οποία ορίζεται ως φυσική καταστροφή, σε κτίρια τα οποία βρίσκονται εντός των διοικητικών ορίων της Δημοτικής Κοινότητας 3ου Δυτικού Διαμερίσματος της Δημοτικής Ενότητας Ηρακλείου του Δήμου Ηρακλείου και της Δημοτικής Κοινότητας Ποταμιών της Δημοτικής Ενότητας Χερσονήσου του Δήμου Χερσονήσου, της Περιφερειακής Ενότητας Ηρακλείου, της Περιφέρειας Κρήτης.</w:t>
      </w:r>
    </w:p>
    <w:p>
      <w:pPr>
        <w:spacing w:before="240" w:after="240"/>
        <w:rPr>
          <w:lang w:val="el" w:eastAsia="el"/>
        </w:rPr>
      </w:pPr>
      <w:r>
        <w:rPr>
          <w:lang w:val="el" w:eastAsia="el"/>
        </w:rPr>
        <w:t>1.2 Το έργο της αποκατάστασης των ζημιών σε κτίρια από την πλημμύρα του θέματος, στις περιοχές που οριοθετούνται με την παρούσα απόφαση, αναλαμβάνει ο Τομέας Αποκατάστασης Επιπτώσεων Φυσικών Καταστροφών Π.Ε. Ηρακλείου (Τ.Α.Ε.Φ.Κ.-Π.Ε. ΗΡΑΚΛΕΙΟΥ)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την πλημμύρα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 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την πλημμύρα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-εί τε ενός (1) έτους από τη δημοσίευση της παρούσας απόφασης στην Εφημερίδα της Κυβερνήσεως</w:t>
      </w:r>
    </w:p>
    <w:p>
      <w:pPr>
        <w:spacing w:before="240" w:after="240"/>
        <w:rPr>
          <w:lang w:val="el" w:eastAsia="el"/>
        </w:rPr>
      </w:pPr>
      <w:r>
        <w:rPr>
          <w:lang w:val="el" w:eastAsia="el"/>
        </w:rPr>
        <w:t>-εί τε ενός (1) έτους από την ημερομηνία παραλαβής της Έκθεσης Αυτοψίας με την οποία το κτίριο χαρακτηρίσθηκε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και διόρθωσης σφάλματος Β’ 1877) απόφαση του Υπουργού Υποδομών και στην υπό στοιχεία οικ. 3645/Δ.Β10/28-8- 2015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πλημμύρα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την πλημμύρα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σε Ν.Π.Δ.Δ., σε Ο.Τ.Α., ή σε Κοινωφελή ή σε Φιλανθρωπικά ή σε Ευαγή Ιδρύματα.</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την πλημμύρα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παραγράφους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της πλημμύρας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κατεδαφίσθηκαν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την πλημμύρα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παράγραφο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πλημμύρα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κατασκευασθεί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την πλημμύρα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δεν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οικ. 6772/Β9β/19-12-2011 (Β’ 3201) απόφαση Υφυπουργού Υποδομών, Μεταφορών και Δικτύων, όπως τροποποιήθηκε με την παρ. ΙΙ της υπό στοιχεία 11756/ Δ5/16-10-2018 απόφασης του Υπουργού Υποδομών και Μεταφορών (Β’ 4776, διόρθωση σφάλματος Β’5988).</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 Εκδίδεται άδεια επισκευής και χορηγείται Σ.Σ. ανάλογα με τις ζημιές που παρουσιάζει το κτίριο και σύμφωνα με το Τιμολόγιο Επισκευών το οποίο έχει εγκριθεί με την υπό στοιχεία 6772/Β9β/19-12-2011 (Β’ 3201) απόφαση Υφυπουργού Υποδομών, Μεταφορών και Δικτύων, όπως τροποποιήθηκε με την παρ. ΙΙ της υπό στοιχεία 11756/ Δ5/16-10-2018 απόφασης του Υπουργού Υποδομών και Μεταφορών (Β’ 4776, διόρθωση σφάλματος Β’5988).</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Σε κτίρια με χρήση κατοικίας που έχουν υποστεί ζημιές από το συμβάν του θέματος, χορηγείται, εφόσον απαιτείται, Δ.Κ.Α.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για αντικατάσταση:</w:t>
      </w:r>
    </w:p>
    <w:p>
      <w:pPr>
        <w:pStyle w:val="StructureList1"/>
        <w:spacing w:before="120" w:after="0"/>
        <w:rPr>
          <w:lang w:val="el" w:eastAsia="el"/>
        </w:rPr>
      </w:pPr>
      <w:r>
        <w:rPr>
          <w:lang w:val="el" w:eastAsia="el"/>
        </w:rPr>
        <w:t>-</w:t>
      </w:r>
      <w:r>
        <w:rPr>
          <w:lang w:val="en" w:eastAsia="en"/>
        </w:rPr>
        <w:tab/>
      </w:r>
      <w:r>
        <w:rPr>
          <w:lang w:val="el" w:eastAsia="el"/>
        </w:rPr>
        <w:t>καυστήρα πετρελαίου, το ποσό των 500 €</w:t>
      </w:r>
    </w:p>
    <w:p>
      <w:pPr>
        <w:pStyle w:val="StructureList1"/>
        <w:spacing w:before="120" w:after="0"/>
        <w:rPr>
          <w:lang w:val="el" w:eastAsia="el"/>
        </w:rPr>
      </w:pPr>
      <w:r>
        <w:rPr>
          <w:lang w:val="el" w:eastAsia="el"/>
        </w:rPr>
        <w:t>-</w:t>
      </w:r>
      <w:r>
        <w:rPr>
          <w:lang w:val="en" w:eastAsia="en"/>
        </w:rPr>
        <w:tab/>
      </w:r>
      <w:r>
        <w:rPr>
          <w:lang w:val="el" w:eastAsia="el"/>
        </w:rPr>
        <w:t>καυστήρα φυσικού αερίου, ξύλου, pellet, βιομάζας, το ποσό των 1.000 €</w:t>
      </w:r>
    </w:p>
    <w:p>
      <w:pPr>
        <w:pStyle w:val="StructureList1"/>
        <w:spacing w:before="120" w:after="0"/>
        <w:rPr>
          <w:lang w:val="el" w:eastAsia="el"/>
        </w:rPr>
      </w:pPr>
      <w:r>
        <w:rPr>
          <w:lang w:val="el" w:eastAsia="el"/>
        </w:rPr>
        <w:t>-</w:t>
      </w:r>
      <w:r>
        <w:rPr>
          <w:lang w:val="en" w:eastAsia="en"/>
        </w:rPr>
        <w:tab/>
      </w:r>
      <w:r>
        <w:rPr>
          <w:lang w:val="el" w:eastAsia="el"/>
        </w:rPr>
        <w:t>καυστήρα μεικτής καύσης, το ποσό των 1.200 €</w:t>
      </w:r>
    </w:p>
    <w:p>
      <w:pPr>
        <w:pStyle w:val="StructureList1"/>
        <w:spacing w:before="120" w:after="0"/>
        <w:rPr>
          <w:lang w:val="el" w:eastAsia="el"/>
        </w:rPr>
      </w:pPr>
      <w:r>
        <w:rPr>
          <w:lang w:val="el" w:eastAsia="el"/>
        </w:rPr>
        <w:t>-</w:t>
      </w:r>
      <w:r>
        <w:rPr>
          <w:lang w:val="en" w:eastAsia="en"/>
        </w:rPr>
        <w:tab/>
      </w:r>
      <w:r>
        <w:rPr>
          <w:lang w:val="el" w:eastAsia="el"/>
        </w:rPr>
        <w:t>κυκλοφορητή, το ποσό των 400 €</w:t>
      </w:r>
    </w:p>
    <w:p>
      <w:pPr>
        <w:pStyle w:val="StructureList1"/>
        <w:spacing w:before="120" w:after="0"/>
        <w:rPr>
          <w:lang w:val="el" w:eastAsia="el"/>
        </w:rPr>
      </w:pPr>
      <w:r>
        <w:rPr>
          <w:lang w:val="el" w:eastAsia="el"/>
        </w:rPr>
        <w:t>-</w:t>
      </w:r>
      <w:r>
        <w:rPr>
          <w:lang w:val="en" w:eastAsia="en"/>
        </w:rPr>
        <w:tab/>
      </w:r>
      <w:r>
        <w:rPr>
          <w:lang w:val="el" w:eastAsia="el"/>
        </w:rPr>
        <w:t>εξοπλισμού μηχανοστασίου υδραυλικού ανελκυστήρα, το ποσό των 2.500 €.</w:t>
      </w:r>
    </w:p>
    <w:p>
      <w:pPr>
        <w:spacing w:before="240" w:after="240"/>
        <w:rPr>
          <w:lang w:val="el" w:eastAsia="el"/>
        </w:rPr>
      </w:pPr>
      <w:r>
        <w:rPr>
          <w:lang w:val="el" w:eastAsia="el"/>
        </w:rPr>
        <w:t>Η Δ.Κ.Α. είναι ανάλογη με το ποσοστό της κάθε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6.5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6.6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την πλημμύρα του θέματος. Μετά την πάροδο των σαράντα πέντε (45) ημερών το δικαίωμα υποβολής αίτησης για χορήγηση Σ.Σ. μπορεί να ασκηθεί και από τον/την ενοικιαστή/-στρια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την πλημμύρα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την πλημμύρα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Ιουνίου 2022</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