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91529 ΕΞ 2022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Συμψηφισμός των απαιτήσεων επιχειρήσεων όλης της επικράτειας που επλήγησαν από την πανδημία, με βέβαιες και εκκαθαρισμένες οφειλές τους έναντι του Ελληνικού Δημοσίου.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ΚΑΙ Ο ΑΝΑΠΛΗΡΩΤΗΣ 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Το άρθρο 218 του ν. 4920/2022(Α’ 74).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 Κεφάλαιο ΙΑ «Ψηφιακή Διαφάνεια - Πρόγραμμα Διαύγεια» του ν.4727/2020 «Ψηφιακή Διακυβέρνηση (Ενσωμάτωση στην Ελληνική Νομοθεσία της Οδηγίας (ΕΕ) 2016/2102 και της Οδηγίας (ΕΕ) 2019/1024) Ηλεκτρονικές Επικοινωνίες (Ενσωμάτωση στο Ελληνικό Δίκαιο της Οδηγίας (ΕΕ) 2018/1972) και άλλες διατάξεις» (Α’ 184) και τον ν. 3469/2006 «Εθνικό Τυπογραφείο, Εφημερίς της Κυβερνήσεως και λοιπές διατάξεις» (Α’ 131).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Τον ν. 4270/2014 «Αρχές δημοσιονομικής διαχείρισης και εποπτείας (ενσωμάτωση της Οδηγίας 2011/85/ ΕΕ)-δημόσιο λογιστικό και άλλες διατάξεις» (Α’ 143) και ιδίως τα άρθρα 20, 66, 67 και 77.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άρθρο 13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άρθρο 90 του Κώδικα νομοθεσίας για την Κυβέρνηση και τα κυβερνητικά όργανα (π.δ. 63/2005, Α’ 98), το οποίο διατηρήθηκε σε ισχύ με την παρ. 22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π.δ. 83/2019 «Διορισμός Αντιπροέδρου της Κυβέρνησης, Υπουργών, Αναπληρωτών Υπουργών και Υφυπουργών» (Α’ 121).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Το π.δ. 142/2017 «Οργανισμός Υπουργείου Οικονομικών» (Α’ 181).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άρθρο 5 του π.δ. 80/2016 «Ανάληψη υποχρεώσεων από τους διατάκτες» (Α’ 145).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Την υπό στοιχεία Υ70/30-10-2020 απόφαση του Πρωθυπουργού «Ανάθεση αρμοδιοτήτων στον Αναπληρωτή Υπουργό Οικονομικών Θεόδωρο Σκυλακάκη» (Β’ 4805).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Την υπό στοιχεία 91284 ΕΞ2022/29.6.2022 (Β’ 3353) απόφαση του Υπουργού Οικονομικών περί εκκαθάρισης οφειλών.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Την υπό στοιχεία 91526 ΕΞ 2022/29.6.2022 κοινή απόφαση του Υπουργού και του Αναπληρωτή Υπουργού Οικονομικών «Χορήγηση ενισχύσεων σε επιχειρήσεις που επλήγησαν από την πανδημία σε όλη την Επικράτεια, στο πλαίσιο της ανακοίνωσης C (2020) 1863 FINAL/19.3.2020».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12. Το υπό στοιχεία 91437 ΕΙ 2022/29.6.2022 έγγραφο της Υπηρεσιακής Γραμματέως του Υπουργείου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13. Την υπό στοιχείο 91191 ΕΞ 2022/29.6.2022 εισήγηση της Γενικής Διεύθυνσης Οικονομικών Υπηρεσιών του Υπουργείου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14. Το γεγονός ότι από τις διατάξεις της απόφασης αυτής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Συμψηφισμός οφειλών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Τα ποσά ενισχύσεων που χορηγούνται σε επιχειρήσεις δυνάμει της υπό στοιχεία 91526 ΕΞ 2022/29.6.2022 κοινής υπουργικής απόφασης του σημείου 11 του προοιμίου συμψηφίζονται με τις βέβαιες και εκκαθαρισμένες οφειλές τους όπως αυτές έχουν καθορισθεί στην υπό στοιχεία 91284 ΕΞ 2022/29.6.2022 (Β’ 3353) απόφαση του Υπουργού Οικονομικών περί εκκαθάρισης οφειλών.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Στην ηλεκτρονική διεύθυνση εκάστου δικαιούχου - οφειλέτη αποστέλλεται ενημέρωση σχετικά με το ποσό της ενίσχυσης και το είδος της οφειλής του, όπως αυτά καθορίζονται στην παρ. 9 του άρθρου 218 του ν. 4920/2022 (Α’ 74) και τον συμψηφισμό αυτών βάσει της παρ. 1 του παρόντος άρθρου.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29 Ιουνίου 2022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 Ο Αναπληρωτής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ΧΡΗΣΤΟΣ ΣΤΑΪΚΟΥΡΑΣ ΘΕΟΔΩΡΟΣ ΣΚΥΛΑΚΑΚΗΣ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