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ΓΕΝΙΚΗ Δ/ΝΣΗ ΟΙΚΟΝΟΜΙΚΩΝ ΥΠΗΡΕΣΙΩΝ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ΠΡΟΫΠΟΛΟΓΙΣΜΟΥ &amp; ΔΗΜΟΣΙΟΝΟΜΙΚΩΝ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ΑΝΑΦΟΡΩΝ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ΟΙΚΟΝΟΜΙΚΗΣ ΔΙΑΧΕΙΡΙΣΗΣ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ΓΕΝΙΚΗ ΓΡΑΜΜΑΤΕΙΑ ΔΗΜΟΣΙΟΝΟΜΙΚΗΣ ΠΟΛΙΤΙΚΗΣ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Α. ΓΕΝΙΚΗ Δ/ΝΣΗ ΘΗΣΑΥΡΟΦΥΛΑΚΙΟΥ &amp; ΔΗΜΟΣΙΟΝΟΜΙΚΩΝ ΚΑΝΟΝΩΝ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ΛΟΓΙΣΤΙΚΗΣ ΓΕΝΙΚΗΣ ΚΥΒΕΡΝΗΣΗΣ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ΚΑΤΑΡΤΙΣΗΣ ΚΑΙ ΕΦΑΡΜΟΓΗΣ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ΔΗΜΟΣΙΟΝΟΜΙΚΩΝ ΚΑΝΟΝΩΝ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Β. ΓΕΝ. Δ/ΝΣΗ ΔΗΜΟΣΙΟΝΟΜΙΚΩΝ ΕΛΕΓΧΩΝ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Γ. ΓΕΝ. Δ/ΝΣΗ ΔΗΜΟΣΙΟΝΟΜΙΚΗΣ ΠΟΛΙΤΙΚΗΣ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&amp; ΠΡΟΫΠΟΛΟΓΙΣΜΟΥ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ΠΡΟΫΠΟΛΟΓΙΣΜΟΥ ΓΕΝΙΚΗΣ ΚΥΒΕΡΝΗΣΗΣ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ΓΕΝΙΚΗ ΓΡΑΜΜΑΤΕΙΑ ΦΟΡΟΛΟΓΙΚΗΣ ΠΟΛΙΤΙΚΗΣ &amp;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ΔΗΜΟΣΙΑΣ ΠΕΡΙΟΥΣΙΑΣ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ΑΑΔΕ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Αρχπ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ΓΕΝΙΚΗ Δ/ΝΣΗ ΗΛΕΚΤΡΟΝΙΚΗΣ ΔΙΑΚΥΒΕΡΝΗΣΗΣ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ΑΝΑΠΤΥΞΗΣ ΤΕΛΩΝΕΙΑΚΩΝ, ΕΛΕΓΚΤΙΚΩΝ ΚΑΙ ΕΠΙΧΕΙΡΗΣΙΑΚΩΝ ΕΦΑΡΜΟΓΩΝ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ΥΠΟΔΙΕΥΘΥΝΣΗ ΑΝΑΠΤΥΞΗΣ ΤΕΛΩΝΕΙΑΚΩΝ ΕΦΑΡΜΟΓΩΝ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ΑΝΑΠΤΥΞΗΣ ΦΟΡΟΛΟΓΙΚΩΝ ΕΦΑΡΜΟΓΩΝ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ΣΤΡΑΤΗΓΙΚΗΣ ΤΕΧΝΟΛΟΓΙΩΝ ΠΛΗΡΟΦΟΡΙΚΗΣ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Δ/ΝΣΗΕΠΙΧΕΙΡΗΣΙΑΚΩΝ ΔΙΑΔΙΚΑΣΙΩΝ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ΑΥΤΟΤΕΛΕΣ ΤΜΗΜΑ Θ’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ΑΥΤΟΤΕΛΕΣ ΤΜΗΜΑ Ι’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ΓΕΝΙΚΗ Δ/ΝΣΗ ΤΕΛΩΝΕΙΩΝ &amp; ΕΙΔΙΚΩΝ ΦΟΡΩΝ ΚΑΤΑΝΑΛΩΣΗΣ (Ε.Φ.Κ.)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ΣΤΡΑΤΗΓΙΚΗΣ ΤΕΛΩΝΕΙΑΚΩΝ ΕΛΕΓΧΩΝ &amp; ΠΑΡΑΒΑΣΕΩΝ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ΓΕΝΙΚΗ Δ/ΝΣΗ ΦΟΡΟΛΟΓΙΚΗΣ ΔΙΟΙΚΗΣΗΣ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ΕΦΑΡΜΟΓΗΣ ΑΜΕΣΗΣ ΦΟΡΟΛΟΓΙΑΣ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Δ/ΝΣΗ ΕΦΑΡΜΟΓΗΣ ΦΟΡΟΛΟΓΙΑΣ ΚΕΦΑΛΑΙΟΥ &amp; ΠΕΡΙΟΥΣΙΟΛΟΓΙΟΥ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Τροποποίηση της με αριθμό Α.1243 απόφασης με θέμα «Χορήγηση επιδόματος θέρμανσης για τη χειμερινή περίοδο 2021/2022 και καθορισμός του ύψους, των δικαιούχων, των προϋποθέσεων και της διαδικασίας χορήγησης των προϋποθέσεων και της διαδικασίας χορήγησης αυτού».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– Ο ΑΝΑΠΛΗΡΩΤΗΣ ΥΠΟΥΡΓΟΣ ΚΑΙ 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79 του ν. 4756/2020 «Μέτρα ενίσχυσης των εργαζομένων και ευάλωτων κοινωνικών ομάδων, κοινωνικοασφαλιστικές ρυθμίσεις και διατάξεις για την ενίσχυση των ανέργων» (Α’ 235),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υποπαρ. Α.1 της παρ. Α του άρθρου πρώτου του ν. 4254/2014 «Μέτρα στήριξης και ανάπτυξης της ελληνικής οικονομίας στο πλαίσιο εφαρμογής του ν. 4046/2012 και άλλες διατάξεις» (Α’ 85).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ν. 4472/2017 περί μεταξύ άλλων «Μεσοπρόθεσμου πλαισίου Δημοσιονομικής Στρατηγικής 2018 - 2021» (Α’ 74).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ν. 4270/2014 «Αρχές δημοσιονομικής διαχείρισης και εποπτείας (ενσωμάτωση της οδηγίας 2011/85/ΕΕ) - δημόσιο λογιστικό και άλλες διατάξεις» (Α΄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ν.δ. 356/1974 «Περί Κώδικος Εισπράξεως Δημοσίων Εσόδων» (Α΄ 90),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ν. 4174/2013 «Φορολογικές διαδικασίες και άλλες διατάξεις» (Α’ 170),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ν. 4172/2013 «Φορολογία εισοδήματος, επείγοντα μέτρα εφαρμογής του ν. 4046/2012, του ν. 4093/2012 και του ν. 4127/2013 και άλλες διατάξεις» (Α’ 167)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ν. 4223/2013 « Ενιαίος Φόρος Ιδιοκτησίας Ακινήτων και άλλες διατάξεις» (Α’ 287),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άρθρου 23 του ν. 3427/2005 «Φόρος προστιθέμενης αξίας στις νέες οικοδομές, μεταβολές στη φορολογία κεφαλαίου και άλλες διατάξεις» (Α’ 312),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άρθρου 26 του ν. 1882/1990 «Μέτρα για την περιστολή της φοροδιαφυγής, διαρρυθμίσεις στην άμεση και έμμεση φορολογία και άλλες διατάξεις.» (Α΄ 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των άρθρων 1 και 2Β του ν. 3852/2010 «Νέα Αρχιτεκτονική της Αυτοδιοίκησης και της Αποκεντρωμένης Διοίκησης - Πρόγραμμα Καλλικράτης». (Α’ 87),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lang w:val="el" w:eastAsia="el"/>
        </w:rPr>
        <w:t>του ν. 2960/2001 «Εθνικός Τελωνειακός Κώδικας» (Α΄265),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ιγ)</w:t>
      </w:r>
      <w:r>
        <w:rPr>
          <w:lang w:val="en" w:eastAsia="en"/>
        </w:rPr>
        <w:tab/>
      </w:r>
      <w:r>
        <w:rPr>
          <w:lang w:val="el" w:eastAsia="el"/>
        </w:rPr>
        <w:t>του ν. 3492/2006 «Οργάνωση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διατάξεις» (Α΄210),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ιδ)</w:t>
      </w:r>
      <w:r>
        <w:rPr>
          <w:lang w:val="en" w:eastAsia="en"/>
        </w:rPr>
        <w:tab/>
      </w:r>
      <w:r>
        <w:rPr>
          <w:lang w:val="el" w:eastAsia="el"/>
        </w:rPr>
        <w:t>του άρθρου 189 του ν.4855/2021 «Τροποποιήσεις του Ποινικού Κώδικα, του Κώδικα Ποινικής Δικονομίας και άλλες επείγουσες διατάξεις» (Α΄ 215),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ιε)</w:t>
      </w:r>
      <w:r>
        <w:rPr>
          <w:lang w:val="en" w:eastAsia="en"/>
        </w:rPr>
        <w:tab/>
      </w:r>
      <w:r>
        <w:rPr>
          <w:lang w:val="el" w:eastAsia="el"/>
        </w:rPr>
        <w:t>του Κεφαλαίου Α’ «Σύσταση Ανεξάρτητης Αρχής Δημοσίων Εσόδων» του ν. 4389/2016 και ειδικότερα του άρθρου 7, της παρ. 1 του άρθρου 14, του άρθρου 37 και του άρθρου 41 αυτού (Α’ 94) 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ιστ)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63/2005 - Α’ 98), σε συνδυασμό με την παρ. 22 του άρθρου 119 του ν. 4622/2019 (Α’ 133), ιζ) του υπ΄ αρ. 83/2019 πδ «Διορισμός Αντιπροέδρου Κυβέρνησης, Υπουργών, Αναπληρωτών Υπουργών και Υφυπουργών» (Α’ 121 &amp; 126 για διόρθωση σφάλματος),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ιη)</w:t>
      </w:r>
      <w:r>
        <w:rPr>
          <w:lang w:val="en" w:eastAsia="en"/>
        </w:rPr>
        <w:tab/>
      </w:r>
      <w:r>
        <w:rPr>
          <w:lang w:val="el" w:eastAsia="el"/>
        </w:rPr>
        <w:t>του π.δ. 62/2020 «Διορισμός Αναπληρωτών Υπουργών και Υφυπουργών» (Α’ 155),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ιθ)</w:t>
      </w:r>
      <w:r>
        <w:rPr>
          <w:lang w:val="en" w:eastAsia="en"/>
        </w:rPr>
        <w:tab/>
      </w:r>
      <w:r>
        <w:rPr>
          <w:lang w:val="el" w:eastAsia="el"/>
        </w:rPr>
        <w:t>της υπ΄ αρ. Υ2/2019 απόφασης του Πρωθυπουργού «Σύσταση θέσεων Αναπληρωτή Υπουργού και Υφυπουργών» (Β’ 2901),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κ)</w:t>
      </w:r>
      <w:r>
        <w:rPr>
          <w:lang w:val="en" w:eastAsia="en"/>
        </w:rPr>
        <w:tab/>
      </w:r>
      <w:r>
        <w:rPr>
          <w:lang w:val="el" w:eastAsia="el"/>
        </w:rPr>
        <w:t>της υπ΄ αρ. Υ70/30.10.2020 απόφασης του Πρωθυπουργού «Ανάθεση αρμοδιοτήτων στον Αναπληρωτή Υπουργό Οικονομικών, Θεόδωρο Σκυλακάκη» (Β’ 4805),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κα)</w:t>
      </w:r>
      <w:r>
        <w:rPr>
          <w:lang w:val="en" w:eastAsia="en"/>
        </w:rPr>
        <w:tab/>
      </w:r>
      <w:r>
        <w:rPr>
          <w:lang w:val="el" w:eastAsia="el"/>
        </w:rPr>
        <w:t>της υπ’ αρ. 339/2019 κοινής απόφασης του Πρωθυπουργού και του Υπουργού Οικονομικών «Ανάθεση αρμοδιοτήτων στον Υφυπουργό Οικονομικών, Απόστολο Βεσυρόπουλο» (Β’ 3051), κβ) 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κγ)</w:t>
      </w:r>
      <w:r>
        <w:rPr>
          <w:lang w:val="en" w:eastAsia="en"/>
        </w:rPr>
        <w:tab/>
      </w:r>
      <w:r>
        <w:rPr>
          <w:lang w:val="el" w:eastAsia="el"/>
        </w:rPr>
        <w:t>του π.δ. 80/2016 «Ανάληψη υποχρεώσεων από τους διατάκτες» (Α’ 145),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κδ)</w:t>
      </w:r>
      <w:r>
        <w:rPr>
          <w:lang w:val="en" w:eastAsia="en"/>
        </w:rPr>
        <w:tab/>
      </w:r>
      <w:r>
        <w:rPr>
          <w:lang w:val="el" w:eastAsia="el"/>
        </w:rPr>
        <w:t>της υπ΄ αρ. Δ.ΟΡΓ.Α 1125859 ΕΞ 2020/23.10.2020 απόφασης του Διοικητή της Ανεξάρτητης Αρχής Δημοσίων Εσόδων «Οργανισμός της Ανεξάρτητης Αρχής Δημοσίων Εσόδων (Α.Α.Δ.Ε.) » (Β’ 4738),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κε)</w:t>
      </w:r>
      <w:r>
        <w:rPr>
          <w:lang w:val="en" w:eastAsia="en"/>
        </w:rPr>
        <w:tab/>
      </w:r>
      <w:r>
        <w:rPr>
          <w:lang w:val="el" w:eastAsia="el"/>
        </w:rPr>
        <w:t>της υπ’ αρ. 1019446/113/0015/ΠΟΛ.1034/14.2.2008 απόφασης του Υπουργού Οικονομίας και Οικονομικών (Β΄ 307),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κστ)</w:t>
      </w:r>
      <w:r>
        <w:rPr>
          <w:lang w:val="en" w:eastAsia="en"/>
        </w:rPr>
        <w:tab/>
      </w:r>
      <w:r>
        <w:rPr>
          <w:lang w:val="el" w:eastAsia="el"/>
        </w:rPr>
        <w:t>της υπ’ αρ. Α 1275/17.12.2020 απόφασης του Υπουργού, του Αναπληρωτή Υπουργού και του Υφυπουργού Οικονομικών (Β’ 5576).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 6/2020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Την με αρ. </w:t>
      </w:r>
      <w:r>
        <w:rPr>
          <w:b/>
          <w:bCs/>
          <w:lang w:val="el" w:eastAsia="el"/>
        </w:rPr>
        <w:t>Α.1243 απόφαση με θέμα «Χορήγηση επιδόματος θέρμανσης για τη χειμερινή περίοδο 2021/2022 και καθορισμός του ύψους, των δικαιούχων, των προϋποθέσεων και της διαδικασίας χορήγησης των προϋποθέσεων και της διαδικασίας χορήγησης αυτού». (Β’ 5298)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υπ΄ αρ. πρωτ.οικ.2/130572/ΔΠΓΚ/30.06.2022 εισήγηση δημοσιονομικών επιπτώσεων της Γενικής Διεύθυνσης Δημοσιονομικής Πολιτικής &amp; Προϋπολογισμού του Γενικού Λογιστηρίου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παρούσας απόφασης δεν προκαλείται δαπάνη σε βάρος του κρατικού προϋπολογισμού...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υποπερίπτωση αγ της περ. α της παρ. 2 του άρθρου 5 αντικαθίσταται ως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«αγ) Έως την 29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2022 για το σύνολο των αγορών που θα τιμολογηθούν έως την 31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Μαρτίου 2022 και υπό την προϋπόθεση καταχώρισης των απαιτούμενων στοιχείων έως και την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Απριλίου 2022. Ειδικά για το φυσικό αέριο θα καταχωρούνται έως την 31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Μαΐου 2022 δικαιολογητικά αγορών της περιόδου 1.10.2021 έως 31.03.2022 με ημερομηνία έκδοσης του παραστατικού πληρωμής έως την 16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Μαϊου 2022 και το αντίστοιχο ποσό επιδόματος θα καταβάλλεται έως την 15η Ιουνίου 2022. Ειδικά για την κατανάλωση θερμικής ενέργειας μέσω τηλεθέρμανσης θα καταχωρούνται έως την 15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Ιουλίου 2022 δικαιολογητικά αγορών της περιόδου 1.10.2021 έως 31.03.2022 με ημερομηνία έκδοσης του παραστατικού πληρωμής έως την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Ιουνίου 2022 και το αντίστοιχο ποσό επιδόματος θα καταβάλλεται έως την 10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Αυγούστου 2022.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καταβολή των ανωτέρω δόσεων πραγματοποιείται μετά την αφαίρεση της καταβληθείσας κατά την παρ. 2 του άρθρου 4 προκαταβολή.»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διατάξεις της παρούσας ισχύουν από τη δημοσίευσή της.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 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ΑΠΟΣΤΟΛΟΣ ΒΕΣΥΡΟΠΟΥΛΟΣ ΘΕΟΔΩΡΟΣ ΣΚΥΛΑΚΑΚΗΣ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ΟΙΚΟΝΟΜΙΚΩΝΧΡΗΣΤΟΣ ΣΤΑΪΚΟΥΡΑΣ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Εθνικό Τυπογραφείο (για δημοσίευση στην Εφημερίδα της Κυβερνήσεως)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Δημόσιες Οικονομικές Υπηρεσίες (Δ.Ο.Υ.)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Γενική Διεύθυνση Ηλεκτρονικής Διακυβέρνησης(Με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ΕΣΩΤΕΡΙΚΗ ΔΙΑΝΟΜΗ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κ. Υπουργού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κ. Αναπληρωτή Υπουργού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κ. Υφυπουργού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Διοικητή Ανεξάρτητης Αρχής Δημοσίων Εσόδων (Α.Α.Δ.Ε.)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Γενικού Γραμματέα Υπουργείου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Γενικού Γραμματέα Δημοσιονομικής Πολιτικής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Γενική Δ/νση Φορολογικής Διοίκησης (Α.Α.Δ.Ε.)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Γενική. Δ/νση Τελωνείων &amp; Ειδικών Φόρων Κατανάλωσης (Α.Α.Δ.Ε.)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Γενική Δ/νση Ηλεκτρονικής Διακυβέρνησης (Α.Α.Δ.Ε.)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Γεν. Δ/ντη Οικονομικών Υπηρεσιών Υπουργείου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Γεν. Δ/ντή Θησαυροφυλακίου &amp; Δημοσιονομικών Κανόνων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Γεν. Δ/ντή Δημοσιονομικών Ελέγχων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Γεν. Δ/ντή Δημοσιονομικής Πολιτικής και Προϋπολογισμού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Στρατηγικής Τελωνειακών Ελέγχων &amp;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Προϋπολογισμού Γενικής 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Οικονομικής Διαχείρισης Υπουργείου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Λογαριασμών και Ταμειακού Προγραμματισμού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Συντονισμού &amp; Ελέγχου Εφαρμογής Δημοσιολογιστικών Διατάξεων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Εφαρμογής Άμεσης Φορολογίας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Εφαρμογής Φορολογίας Κεφαλαίου και Περιουσιολογίου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