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62412</w:t>
      </w:r>
    </w:p>
    <w:p>
      <w:pPr>
        <w:pStyle w:val="PreambelText"/>
        <w:spacing w:before="240" w:after="240"/>
        <w:rPr>
          <w:lang w:val="el" w:eastAsia="el"/>
        </w:rPr>
      </w:pPr>
      <w:r>
        <w:rPr>
          <w:b/>
          <w:bCs/>
          <w:lang w:val="el" w:eastAsia="el"/>
        </w:rPr>
        <w:t>Πρόγραμμα κοινωνικού τουρισμού για συνταξιούχους e-ΕΦΚΑ -πρώην ΟΑΕΕ περιόδου 20222023.</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της περ. η), της παρ. 4 του άρθρου 34, του ν. 4144/ 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τις παρ. 2 και 5 του άρθρου 69 του ν. 3863/2010 «Νέο Ασφαλιστικό Σύστημα και συναφείς διατάξεις, ρυθμίσεις στις εργασιακές σχέσεις» (Α’ 115).</w:t>
      </w:r>
    </w:p>
    <w:p>
      <w:pPr>
        <w:pStyle w:val="PreambelText"/>
        <w:spacing w:before="240" w:after="240"/>
        <w:rPr>
          <w:lang w:val="el" w:eastAsia="el"/>
        </w:rPr>
      </w:pPr>
      <w:r>
        <w:rPr>
          <w:lang w:val="el" w:eastAsia="el"/>
        </w:rPr>
        <w:t>3. 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5. του ν. 2956/2001 «Αναδιάρθρωση του ΟΑΕΔ και άλλες διατάξεις» (Α’ 258),</w:t>
      </w:r>
    </w:p>
    <w:p>
      <w:pPr>
        <w:pStyle w:val="PreambelText"/>
        <w:spacing w:before="240" w:after="240"/>
        <w:rPr>
          <w:lang w:val="el" w:eastAsia="el"/>
        </w:rPr>
      </w:pPr>
      <w:r>
        <w:rPr>
          <w:lang w:val="el" w:eastAsia="el"/>
        </w:rPr>
        <w:t>6. του άρθρου 90 του π.δ. 63/22-4-2005 (Α’ 98) «Κωδικοποίηση της νομοθεσίας για την Κυβέρνηση και τα κυβερνητικά όργανα»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7.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του π.δ. 62/2020 «Διορισμός Αναπληρωτών Υπουργών και Υφυπουργών» (Α’ 155),</w:t>
      </w:r>
    </w:p>
    <w:p>
      <w:pPr>
        <w:pStyle w:val="PreambelText"/>
        <w:spacing w:before="240" w:after="240"/>
        <w:rPr>
          <w:lang w:val="el" w:eastAsia="el"/>
        </w:rPr>
      </w:pPr>
      <w:r>
        <w:rPr>
          <w:lang w:val="el" w:eastAsia="el"/>
        </w:rPr>
        <w:t>10.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11. του άρθρου 16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του π.δ. 142/2017 «Οργανισμός Υπουργείου Οικονομικών» (Α’ 181).</w:t>
      </w:r>
    </w:p>
    <w:p>
      <w:pPr>
        <w:pStyle w:val="PreambelText"/>
        <w:spacing w:before="240" w:after="240"/>
        <w:rPr>
          <w:lang w:val="el" w:eastAsia="el"/>
        </w:rPr>
      </w:pPr>
      <w:r>
        <w:rPr>
          <w:lang w:val="el" w:eastAsia="el"/>
        </w:rPr>
        <w:t>13.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Τις αποφάσεις ανάληψης υποχρέωσης για το τρέχον έτος με ΑΔΑ: ΩΑΖ94691Ω2-ΘΝΔ, 6ΑΣΡ4691Ω2-Γ0Χ, ΩΜ- 0Ξ4691Ω2-Χ89, ΨΡΠ14691Ω2-5ΙΣ, ΨΚΝ14691Ω2-ΨΥ7, 6ΕΟ14691Ω2-Τ2Η, ΨΞΨΜ4691Ω2-ΝΙΖ, Ω3ΦΧ4691Ω2- ΞΧΚ και την υπ’ αρ. 446811 βεβαίωση της ΔΥΠΑ σχετικά με την ανάληψη δαπάνης για το έτος 2023.</w:t>
      </w:r>
    </w:p>
    <w:p>
      <w:pPr>
        <w:pStyle w:val="PreambelText"/>
        <w:spacing w:before="240" w:after="240"/>
        <w:rPr>
          <w:lang w:val="el" w:eastAsia="el"/>
        </w:rPr>
      </w:pPr>
      <w:r>
        <w:rPr>
          <w:lang w:val="el" w:eastAsia="el"/>
        </w:rPr>
        <w:t>15. Τα αριθ. πρωτ. 306035/9-5-2022 και 385263/ 25.5.2022 έγγραφα της ΔΥΠΑ, με τα οποία διαβιβάστηκαν η αρ. 2456/57/3-5-2022 απόφαση του Δ.Σ. της ΔΥΠΑ και η 2766/68/24-5-2022 τροποποίησή της.</w:t>
      </w:r>
    </w:p>
    <w:p>
      <w:pPr>
        <w:pStyle w:val="PreambelText"/>
        <w:spacing w:before="240" w:after="240"/>
        <w:rPr>
          <w:lang w:val="el" w:eastAsia="el"/>
        </w:rPr>
      </w:pPr>
      <w:r>
        <w:rPr>
          <w:lang w:val="el" w:eastAsia="el"/>
        </w:rPr>
        <w:t>16. Την υπ’ αρ. 54299/08-06-22 εισήγηση του προϊσταμένου της ΓΔΟΥ του Υπουργείου Εργασίας και Κοινωνικών Υποθέσεων.</w:t>
      </w:r>
    </w:p>
    <w:p>
      <w:pPr>
        <w:pStyle w:val="PreambelText"/>
        <w:spacing w:before="240" w:after="240"/>
        <w:rPr>
          <w:lang w:val="el" w:eastAsia="el"/>
        </w:rPr>
      </w:pPr>
      <w:r>
        <w:rPr>
          <w:lang w:val="el" w:eastAsia="el"/>
        </w:rPr>
        <w:t>17. Το γεγονός ότι από τις διατάξεις αυτής της απόφασης προκαλείται για το έτος 2022 δαπάνη ύψους 1.000.000,00 € και για το έτος 2023 δαπάνη ύψους 2.000.000,00 € κατ’ ανώτατο όριο σε βάρος του προϋπολογισμού του Ενιαίου Λογαριασμού για την Εφαρμογή Κοινωνικών Πολιτικών (ΕΛΕΚΠ) (ΚΑΕ 2639) της ΔΥΠΑ, αποφασίζουμε:</w:t>
      </w:r>
    </w:p>
    <w:p>
      <w:pPr>
        <w:pStyle w:val="PreambelText"/>
        <w:spacing w:before="240" w:after="240"/>
        <w:rPr>
          <w:lang w:val="el" w:eastAsia="el"/>
        </w:rPr>
      </w:pPr>
      <w:r>
        <w:rPr>
          <w:lang w:val="el" w:eastAsia="el"/>
        </w:rPr>
        <w:t>Την έγκριση της διάθεσης του πόρου της παρ. 5 του άρθρου 69 του ν. 3863/2010 για τη κατάρτιση προγράμματος κοινωνικού τουρισμού για συνταξιούχους e-ΕΦΚΑ - πρώην ΟΑΕΕ περιόδου 2022-2023,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είναι η πραγματοποίηση διακοπών από τους συνταξιούχους του e ΕΦΚΑ - πρώην ΟΑΕΕ σε καταλύματα του Μητρώου Παρόχων που καταρτίζεται με τους όρους της παρούσας μέσω της Επιταγής Κοινωνικού Τουρισμού του άρθρου 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2022-2023 ορίζονται συνταξιούχοι του e ΕΦΚΑ - πρώην ΟΑΕΕ που έχουν καταβάλει εισφορά της παρ. 5 του άρθρ. 69 του ν. 3863/2010 κατά τον μήνα που προηγείται της λήξης της προθεσμίας υποβολής αιτήσεων συμμετοχής στο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όπως αυτά αποδεικνύονται από αυτεπάγγελτη αναζήτηση από αρμόδιο δημόσιο φορέα ή όπως η Δημόσια Πρόσκληση ορίσει. Για τους σκοπούς της παρούσας ως ημερομηνία συμπλήρωσης του 5ου έτους θεωρείται η 01.01.2022.</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όπως αυτά αποδεικνύονται από αυτεπάγγελτη αναζήτηση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ορίσει.</w:t>
      </w:r>
    </w:p>
    <w:p>
      <w:pPr>
        <w:spacing w:before="240" w:after="240"/>
        <w:rPr>
          <w:lang w:val="el" w:eastAsia="el"/>
        </w:rPr>
      </w:pPr>
      <w:r>
        <w:rPr>
          <w:lang w:val="el" w:eastAsia="el"/>
        </w:rPr>
        <w:t>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δικαιούχοι-ωφελούμενοι του προγράμματος Κοινωνικού Τουρισμού περιόδου 2022-2023 οι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θα υλοποιηθεί από την 01.08.2022 έως την 31.07.2023. Οι ημερομηνίες υλοποίησης του προγράμματος είναι δυνατόν να τροποποιηθούν με απόφαση του Διοικητή της Δ.ΥΠ.Α..</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Κω και του νομού Έβρου, όπου είναι δυνατόν να πραγματοποιηθούν έως δέκα (10) διανυκτερεύσεις,</w:t>
      </w:r>
    </w:p>
    <w:p>
      <w:pPr>
        <w:pStyle w:val="StructureList1"/>
        <w:spacing w:before="120" w:after="0"/>
        <w:rPr>
          <w:lang w:val="el" w:eastAsia="el"/>
        </w:rPr>
      </w:pPr>
      <w:r>
        <w:rPr>
          <w:lang w:val="el" w:eastAsia="el"/>
        </w:rPr>
        <w:t>ii)</w:t>
      </w:r>
      <w:r>
        <w:rPr>
          <w:lang w:val="en" w:eastAsia="en"/>
        </w:rPr>
        <w:tab/>
      </w:r>
      <w:r>
        <w:rPr>
          <w:lang w:val="el" w:eastAsia="el"/>
        </w:rPr>
        <w:t>της νήσου Σάμου και των Δήμων Ιστιαίας - Αιδηψού και Μαντουδίου - Λίμνης - Αγ. Άννας του Ν. Ευβοίας,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25.000.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w:t>
      </w:r>
    </w:p>
    <w:p>
      <w:pPr>
        <w:spacing w:before="240" w:after="240"/>
        <w:rPr>
          <w:lang w:val="el" w:eastAsia="el"/>
        </w:rPr>
      </w:pPr>
      <w:r>
        <w:rPr>
          <w:lang w:val="el" w:eastAsia="el"/>
        </w:rPr>
        <w:t>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w:t>
      </w:r>
    </w:p>
    <w:p>
      <w:pPr>
        <w:pStyle w:val="StructureList1"/>
        <w:spacing w:before="120" w:after="0"/>
        <w:rPr>
          <w:lang w:val="el" w:eastAsia="el"/>
        </w:rPr>
      </w:pPr>
      <w:r>
        <w:rPr>
          <w:lang w:val="el" w:eastAsia="el"/>
        </w:rPr>
        <w:t>α)</w:t>
      </w:r>
      <w:r>
        <w:rPr>
          <w:lang w:val="en" w:eastAsia="en"/>
        </w:rPr>
        <w:tab/>
      </w:r>
      <w:r>
        <w:rPr>
          <w:lang w:val="el" w:eastAsia="el"/>
        </w:rPr>
        <w:t>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p>
      <w:pPr>
        <w:spacing w:before="240" w:after="240"/>
        <w:rPr>
          <w:lang w:val="el" w:eastAsia="el"/>
        </w:rPr>
      </w:pPr>
      <w:r>
        <w:rPr>
          <w:lang w:val="el" w:eastAsia="el"/>
        </w:rPr>
        <w:t>ΠΙΝΑΚΑΣ 1:</w:t>
      </w:r>
    </w:p>
    <w:p>
      <w:pPr>
        <w:spacing w:before="240" w:after="240"/>
        <w:rPr>
          <w:lang w:val="el" w:eastAsia="el"/>
        </w:rPr>
      </w:pPr>
      <w:r>
        <w:rPr>
          <w:lang w:val="el" w:eastAsia="el"/>
        </w:rPr>
        <w:t>ΤΙΜΕΣ ΕΠΙΔΟΤΗΣΗΣ ΓΙΑ ΤΑ ΤΟΥΡΙΣΤΙΚΑ ΚΑΤΑΛΥΜΑΤΑ ΟΛΩΝ ΤΩΝ ΠΕΡΙΟΧΩΝ ΠΛΗΝ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8"/>
        <w:gridCol w:w="2055"/>
        <w:gridCol w:w="1876"/>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 ΕΕΔΔ ΠΟΥ 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2:</w:t>
            </w:r>
          </w:p>
          <w:p>
            <w:pPr>
              <w:spacing w:before="240"/>
              <w:rPr>
                <w:b w:val="0"/>
                <w:bCs w:val="0"/>
                <w:i w:val="0"/>
                <w:iCs w:val="0"/>
                <w:smallCaps w:val="0"/>
                <w:color w:val="000000"/>
                <w:lang w:val="el" w:eastAsia="el"/>
              </w:rPr>
            </w:pPr>
            <w:r>
              <w:rPr>
                <w:b w:val="0"/>
                <w:bCs w:val="0"/>
                <w:i w:val="0"/>
                <w:iCs w:val="0"/>
                <w:smallCaps w:val="0"/>
                <w:color w:val="000000"/>
                <w:lang w:val="el" w:eastAsia="el"/>
              </w:rPr>
              <w:t>ΤΙΜΕΣ ΕΠΙΔΟΤΗΣΗΣ ΓΙΑ ΤΑ ΤΟΥΡΙΣΤΙΚΑ ΚΑΤΑΛΥΜΑΤΑ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ΔΙΑΜΕΡΙΣΜΑΤΑ/ΔΩΜΑΤΙΑ - ΕΕΔΔ ΠΟΥ ΛΕΙΤΟΥΡΓΟΥΝ</w:t>
            </w:r>
          </w:p>
          <w:p>
            <w:pPr>
              <w:spacing w:before="240"/>
              <w:rPr>
                <w:b w:val="0"/>
                <w:bCs w:val="0"/>
                <w:i w:val="0"/>
                <w:iCs w:val="0"/>
                <w:smallCaps w:val="0"/>
                <w:color w:val="000000"/>
                <w:lang w:val="el" w:eastAsia="el"/>
              </w:rPr>
            </w:pPr>
            <w:r>
              <w:rPr>
                <w:b w:val="0"/>
                <w:bCs w:val="0"/>
                <w:i w:val="0"/>
                <w:iCs w:val="0"/>
                <w:smallCaps w:val="0"/>
                <w:color w:val="000000"/>
                <w:lang w:val="el" w:eastAsia="el"/>
              </w:rPr>
              <w:t>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τις διανυκτερεύσεις που θα πραγματοποιηθούν εντός του Αυγούστου 2022, πλην των νήσων Σάμου και των Δήμων Ιστιαίας-Αιδηψού και Μαντουδίου-Λίμνης-Αγ. Άννας που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στους Δήμους Ιστιαίας - Αιδηψού και Μαντουδίου-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 Σε περίπτωση υπέρβασης των κατωτέρω ορίων δεν καταβάλλεται επιδότηση για τις επιταγές στις οποίες αυτή σημειώθηκε.</w:t>
      </w:r>
    </w:p>
    <w:p>
      <w:pPr>
        <w:spacing w:before="240" w:after="240"/>
        <w:rPr>
          <w:lang w:val="el" w:eastAsia="el"/>
        </w:rPr>
      </w:pPr>
      <w:r>
        <w:rPr>
          <w:lang w:val="el" w:eastAsia="el"/>
        </w:rPr>
        <w:t>ΠΙΝΑΚΑΣ 3:</w:t>
      </w:r>
    </w:p>
    <w:p>
      <w:pPr>
        <w:spacing w:before="240" w:after="240"/>
        <w:rPr>
          <w:lang w:val="el" w:eastAsia="el"/>
        </w:rPr>
      </w:pPr>
      <w:r>
        <w:rPr>
          <w:lang w:val="el" w:eastAsia="el"/>
        </w:rPr>
        <w:t>ΑΝΩΤΑΤΑ ΠΟΣΑ ΙΔΙΩΤΙΚΗΣ ΣΥΜΜΕΤΟΧΗΣ</w:t>
      </w:r>
    </w:p>
    <w:p>
      <w:pPr>
        <w:spacing w:before="240" w:after="240"/>
        <w:rPr>
          <w:lang w:val="el" w:eastAsia="el"/>
        </w:rPr>
      </w:pPr>
      <w:r>
        <w:rPr>
          <w:lang w:val="el" w:eastAsia="el"/>
        </w:rPr>
        <w:t>ΑΝΑ ΔΙΚΑΙΟΥΧΟ-ΩΦΕΛΟΥΜΕΝΟ ΚΑΙ ΑΝΑ ΔΙΑΝΥΚΤΕΡΕΥΣΗ ΣΕ ΚΑΤΑΛΥΜΑΤΑ ΕΚΤΟΣ ΤΩΝ ΝΗΣΩΝ ΛΕΣΒΟΥ,ΧΙΟΥ, ΣΑΜΟΥ, ΛΕΡΟΥ, ΚΩ, ΤΩΝ ΔΗΜΩΝ ΙΣΤΙΑΙΑΣ - ΑΙΔΗΨΟΥ ΚΑΙ ΜΑΝΤΟΥΔΙΟΥ- ΛΙΜΝΗΣ - ΑΓ. ΑΝΝΑΣ ΤΟΥ Ν.</w:t>
      </w:r>
    </w:p>
    <w:p>
      <w:pPr>
        <w:spacing w:before="240" w:after="240"/>
        <w:rPr>
          <w:lang w:val="el" w:eastAsia="el"/>
        </w:rPr>
      </w:pPr>
      <w:r>
        <w:rPr>
          <w:lang w:val="el" w:eastAsia="el"/>
        </w:rPr>
        <w:t>ΕΥΒΟΙΑΣ ΚΑΙ ΤΟΥ ΝΟΜΟΥ ΕΒΡΟΥ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6"/>
        <w:gridCol w:w="2249"/>
        <w:gridCol w:w="1357"/>
        <w:gridCol w:w="1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w:t>
            </w:r>
          </w:p>
          <w:p>
            <w:pPr>
              <w:spacing w:before="240"/>
              <w:rPr>
                <w:b w:val="0"/>
                <w:bCs w:val="0"/>
                <w:i w:val="0"/>
                <w:iCs w:val="0"/>
                <w:smallCaps w:val="0"/>
                <w:color w:val="000000"/>
                <w:lang w:val="el" w:eastAsia="el"/>
              </w:rPr>
            </w:pPr>
            <w:r>
              <w:rPr>
                <w:b w:val="0"/>
                <w:bCs w:val="0"/>
                <w:i w:val="0"/>
                <w:iCs w:val="0"/>
                <w:smallCaps w:val="0"/>
                <w:color w:val="000000"/>
                <w:lang w:val="el" w:eastAsia="el"/>
              </w:rPr>
              <w:t>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ΚΑΤΑΛΥΜΑΤΑ ΠΟΥ ΛΕΙΤΟΥΡΓΟΥΝ ΕΝΤΟΣ ΚΤΗΡΙΩΝ</w:t>
            </w:r>
          </w:p>
          <w:p>
            <w:pPr>
              <w:spacing w:before="240"/>
              <w:rPr>
                <w:b w:val="0"/>
                <w:bCs w:val="0"/>
                <w:i w:val="0"/>
                <w:iCs w:val="0"/>
                <w:smallCaps w:val="0"/>
                <w:color w:val="000000"/>
                <w:lang w:val="el" w:eastAsia="el"/>
              </w:rPr>
            </w:pPr>
            <w:r>
              <w:rPr>
                <w:b w:val="0"/>
                <w:bCs w:val="0"/>
                <w:i w:val="0"/>
                <w:iCs w:val="0"/>
                <w:smallCaps w:val="0"/>
                <w:color w:val="000000"/>
                <w:lang w:val="el" w:eastAsia="el"/>
              </w:rPr>
              <w:t>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 ΔΩΜΑΤΙΑ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ΕΕΔΔ ΠΟΥ ΛΕΙΤΟΥΡΓΟΥΝ ΕΝΤΟΣ 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καταλύματα των νήσων Λέσβου, Χίου, Σάμου, Λέρου, Κω, των Δήμων Ιστιαίας - Αιδηψού και Μαντουδίου- Λίμνης - Αγ. Άννας του ν. Ευβοίας καθώς και του νομού Έβρου δεν καταβάλλεται ιδιωτική συμμετοχή. Σε περίπτωση μη τήρησης των ως άνω για την καταβολή και τα όρια ιδιωτικής συμμετοχής είναι δυνατόν να επιβληθούν οι κυρώσεις του άρθρ.15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για τους ενήλικες και παιδιά ηλικίας εντασσομένης κατά την τιμολογιακή πολιτική του παρόχου στην κατηγορία των ενηλίκων, στο 50% της προβλεπόμενης τιμής οικονομικής θέσης κατά την τρέχουσα δρομολογιακή περίοδο, ii) 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κατά την τρέχουσα δρομολογιακή περίοδο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κατά την τρέχουσα δρομολογιακή περίοδο.</w:t>
      </w:r>
    </w:p>
    <w:p>
      <w:pPr>
        <w:spacing w:before="240" w:after="240"/>
        <w:rPr>
          <w:lang w:val="el" w:eastAsia="el"/>
        </w:rPr>
      </w:pPr>
      <w:r>
        <w:rPr>
          <w:lang w:val="el" w:eastAsia="el"/>
        </w:rPr>
        <w:t>β. Το ύψος της ιδιωτικής συμμετοχής των δικαιούχωνωφελουμένων ισούται κατά τις ως άνω περιπτώσεις (i) με το 25% της προβλεπόμενης τιμής οικονομικής θέσης κατά την τρέχουσα δρομολογιακή περίοδο και (ii) με το 40% της προβλεπόμενης μετά την έκπτωση τιμής οικονομικής θέσης κατά την τρέχουσα δρομολογιακή περίοδο. Στην περίπτωση (iii) η συμμετοχή του δικαιούχου/ 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όσων εντάσσονται στην κατηγορία ΑμεΑ σε ποσοστό 50% και άνω.</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w:t>
      </w:r>
    </w:p>
    <w:p>
      <w:pPr>
        <w:spacing w:before="240" w:after="240"/>
        <w:rPr>
          <w:lang w:val="el" w:eastAsia="el"/>
        </w:rPr>
      </w:pPr>
      <w:r>
        <w:rPr>
          <w:lang w:val="el" w:eastAsia="el"/>
        </w:rPr>
        <w:t>ΤΗΝ ΚΑΤΑΡΤΙΣΗ ΤΩΝ ΜΗΤΡΩΩΝ ΔΙΚΑΙΟΥΧΩΝ-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η προθεσμία και η διαδικασία υποβολής των ηλεκτρονικών αιτήσεων και των απαιτουμένων δικαιολογητικών, η διαδικασία κατάρτισης των Μητρώων Δικαιούχων-Ωφελουμένων και Παρόχων, η διαδικασία και τα δικαιολογητικά αποπληρωμής των παρόχων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επισυνάπτονται στην ηλεκτρονική αίτηση συμμετοχής τους.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w:t>
      </w:r>
    </w:p>
    <w:p>
      <w:pPr>
        <w:spacing w:before="240" w:after="240"/>
        <w:rPr>
          <w:lang w:val="el" w:eastAsia="el"/>
        </w:rPr>
      </w:pPr>
      <w:r>
        <w:rPr>
          <w:lang w:val="el" w:eastAsia="el"/>
        </w:rPr>
        <w:t>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της παρ. 1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w:t>
      </w:r>
    </w:p>
    <w:p>
      <w:pPr>
        <w:pStyle w:val="StructureList1"/>
        <w:spacing w:before="120" w:after="0"/>
        <w:rPr>
          <w:lang w:val="el" w:eastAsia="el"/>
        </w:rPr>
      </w:pPr>
      <w:r>
        <w:rPr>
          <w:lang w:val="el" w:eastAsia="el"/>
        </w:rPr>
        <w:t>α)</w:t>
      </w:r>
      <w:r>
        <w:rPr>
          <w:lang w:val="en" w:eastAsia="en"/>
        </w:rPr>
        <w:tab/>
      </w:r>
      <w:r>
        <w:rPr>
          <w:lang w:val="el" w:eastAsia="el"/>
        </w:rPr>
        <w:t>στο πραγματικό δηλωθέν εισόδημα, ατομικό ή οικογενειακό κατά περίπτωση - είτε φορολογείται με τις γενικές διατάξεις είτε είναι απαλλασσόμενο του φόρου είτε φορολογείται αυτοτελώς - φορολογικού έτους 2020 και έχει ως εξής:</w:t>
      </w:r>
    </w:p>
    <w:p>
      <w:pPr>
        <w:pStyle w:val="MainText"/>
        <w:spacing w:before="120" w:after="0"/>
        <w:rPr>
          <w:lang w:val="el" w:eastAsia="el"/>
        </w:rPr>
      </w:pPr>
      <w:r>
        <w:rPr>
          <w:b/>
          <w:bCs/>
          <w:lang w:val="el" w:eastAsia="el"/>
        </w:rPr>
        <w:t>1.</w:t>
      </w:r>
      <w:r>
        <w:rPr>
          <w:lang w:val="el" w:eastAsia="el"/>
        </w:rPr>
        <w:t xml:space="preserve"> για πραγματικό δηλωθέν εισόδημα έως 10.000,99€: 30 μόρια,</w:t>
      </w:r>
    </w:p>
    <w:p>
      <w:pPr>
        <w:pStyle w:val="MainText"/>
        <w:spacing w:before="120" w:after="0"/>
        <w:rPr>
          <w:lang w:val="el" w:eastAsia="el"/>
        </w:rPr>
      </w:pPr>
      <w:r>
        <w:rPr>
          <w:b/>
          <w:bCs/>
          <w:lang w:val="el" w:eastAsia="el"/>
        </w:rPr>
        <w:t>2.</w:t>
      </w:r>
      <w:r>
        <w:rPr>
          <w:lang w:val="el" w:eastAsia="el"/>
        </w:rPr>
        <w:t xml:space="preserve"> για πραγματικό δηλωθέν εισόδημα από 10.001,00 έως 20.000,99€: 20 μόρια,</w:t>
      </w:r>
    </w:p>
    <w:p>
      <w:pPr>
        <w:pStyle w:val="MainText"/>
        <w:spacing w:before="120" w:after="0"/>
        <w:rPr>
          <w:lang w:val="el" w:eastAsia="el"/>
        </w:rPr>
      </w:pPr>
      <w:r>
        <w:rPr>
          <w:b/>
          <w:bCs/>
          <w:lang w:val="el" w:eastAsia="el"/>
        </w:rPr>
        <w:t>3.</w:t>
      </w:r>
      <w:r>
        <w:rPr>
          <w:lang w:val="el" w:eastAsia="el"/>
        </w:rPr>
        <w:t xml:space="preserve"> για πραγματικό δηλωθέν εισόδημα από 20.001, 0 έως 30.000,99€: 10 μόρια,</w:t>
      </w:r>
    </w:p>
    <w:p>
      <w:pPr>
        <w:pStyle w:val="StructureList1"/>
        <w:spacing w:before="120" w:after="0"/>
        <w:rPr>
          <w:lang w:val="el" w:eastAsia="el"/>
        </w:rPr>
      </w:pPr>
      <w:r>
        <w:rPr>
          <w:lang w:val="el" w:eastAsia="el"/>
        </w:rPr>
        <w:t>β)</w:t>
      </w:r>
      <w:r>
        <w:rPr>
          <w:lang w:val="en" w:eastAsia="en"/>
        </w:rPr>
        <w:tab/>
      </w:r>
      <w:r>
        <w:rPr>
          <w:lang w:val="el" w:eastAsia="el"/>
        </w:rPr>
        <w:t>στον αριθμό των έμμεσα ασφαλισμένων μελών και έχει ως εξής: 10 μόρια για κάθε έμμεσα ασφαλισμένο μέλος.</w:t>
      </w:r>
    </w:p>
    <w:p>
      <w:pPr>
        <w:spacing w:before="240" w:after="240"/>
        <w:rPr>
          <w:lang w:val="el" w:eastAsia="el"/>
        </w:rPr>
      </w:pPr>
      <w:r>
        <w:rPr>
          <w:lang w:val="el" w:eastAsia="el"/>
        </w:rPr>
        <w:t>Μετά τη μοριοδότηση οι δικαιούχοι κατατάσσονται κατά σειρά προτεραιότητας υποβολής της αίτησης.</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Οι πληροφορίες σχετικά με έμμεσα ασφαλισμένα μέλη αναζητούνται αυτεπαγγέλτως από αρμόδιο δημόσιο φορέα ή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να συμπληρωθεί, αθροιστικά με τους ωφελουμένους τους, ο προβλεπόμενος αριθμός</w:t>
      </w:r>
    </w:p>
    <w:p>
      <w:pPr>
        <w:pStyle w:val="MainText"/>
        <w:spacing w:before="120" w:after="0"/>
        <w:rPr>
          <w:lang w:val="el" w:eastAsia="el"/>
        </w:rPr>
      </w:pPr>
      <w:r>
        <w:rPr>
          <w:b/>
          <w:bCs/>
          <w:lang w:val="el" w:eastAsia="el"/>
        </w:rPr>
        <w:t>6.</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στα κριτήρια μοριοδότησης της παρ. 2 του παρόντος,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7.</w:t>
      </w:r>
      <w:r>
        <w:rPr>
          <w:lang w:val="el" w:eastAsia="el"/>
        </w:rPr>
        <w:t xml:space="preserve"> Για τους υποψήφιους που δεν πληρούν ή που δεν αποδεικνύεται ότι πληρούν τις προϋποθέσεις του άρθρ.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8.</w:t>
      </w:r>
      <w:r>
        <w:rPr>
          <w:lang w:val="el" w:eastAsia="el"/>
        </w:rPr>
        <w:t xml:space="preserve"> Μέλη που δηλώθηκαν ως ωφελούμενα στην αίτηση, χωρίς να πληρούν τις προϋποθέσεις του άρθρ.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9.</w:t>
      </w:r>
      <w:r>
        <w:rPr>
          <w:lang w:val="el" w:eastAsia="el"/>
        </w:rPr>
        <w:t xml:space="preserve"> Το προσωρινό Μητρώο Δικαιούχων-Ωφελουμένων της παρ. 6 και οι προσωρινοί Πίνακες Αποκλειομένων των παρ. 7 και 8 αναρτώνται στον ιστότοπο της Δ.ΥΠ.Α.</w:t>
      </w:r>
    </w:p>
    <w:p>
      <w:pPr>
        <w:pStyle w:val="MainText"/>
        <w:spacing w:before="120" w:after="0"/>
        <w:rPr>
          <w:lang w:val="el" w:eastAsia="el"/>
        </w:rPr>
      </w:pPr>
      <w:r>
        <w:rPr>
          <w:b/>
          <w:bCs/>
          <w:lang w:val="el" w:eastAsia="el"/>
        </w:rPr>
        <w:t>10.</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ημερών από την επομένη ημέρα της δημοσιεύσεώς τους στον ιστότοπο της Δ.ΥΠ.Α., όπως ορίζεται στη Δημόσια Πρόσκληση.</w:t>
      </w:r>
    </w:p>
    <w:p>
      <w:pPr>
        <w:pStyle w:val="MainText"/>
        <w:spacing w:before="120" w:after="0"/>
        <w:rPr>
          <w:lang w:val="el" w:eastAsia="el"/>
        </w:rPr>
      </w:pPr>
      <w:r>
        <w:rPr>
          <w:b/>
          <w:bCs/>
          <w:lang w:val="el" w:eastAsia="el"/>
        </w:rPr>
        <w:t>11.</w:t>
      </w:r>
      <w:r>
        <w:rPr>
          <w:lang w:val="el" w:eastAsia="el"/>
        </w:rPr>
        <w:t xml:space="preserve"> Κατόπιν εξέτασης των ενστάσεων από το Δ.Σ. της Δ.ΥΠ.Α., καταρτίζεται: α) το Οριστικό Μητρώο Δικαιούχων-Ωφελουμένων και β) οι οριστικοί Πίνακες Αποκλειομένων. Το οριστικό Μητρώο Δικαιούχων-Ωφελουμένων και οι οριστικοί Πίνακες Αποκλειομένων αναρτώνται στον ιστότοπο της Δ.ΥΠ.Α.</w:t>
      </w:r>
    </w:p>
    <w:p>
      <w:pPr>
        <w:pStyle w:val="MainText"/>
        <w:spacing w:before="120" w:after="0"/>
        <w:rPr>
          <w:lang w:val="el" w:eastAsia="el"/>
        </w:rPr>
      </w:pPr>
      <w:r>
        <w:rPr>
          <w:b/>
          <w:bCs/>
          <w:lang w:val="el" w:eastAsia="el"/>
        </w:rPr>
        <w:t>12.</w:t>
      </w:r>
      <w:r>
        <w:rPr>
          <w:lang w:val="el" w:eastAsia="el"/>
        </w:rPr>
        <w:t xml:space="preserve"> Το προσωρινό και οριστικό Μητρώο Δικαιούχων - Ωφελουμένων και οι προσωρινοί και οριστικοί Πίνακες Αποκλειομένων καταρτίζονται από τον Διοικητή της Δ.ΥΠ.Α. ή από το όργανο που αυτός ορίσει.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 Στην περίπτωση που έχουν ήδη υποβάλει όλα τα απαιτούμενα δικαιολογητικά στο πλαίσιο της συμμετοχής τους στο πρόγραμμα Επιδότησης Διακοπών Εργαζομένων, Ανέργων και των Οικογενειών αυτών με Επιταγή Κοινωνικού Τουρισμού περιόδου 2022-2023, δεν απαιτείται εκ νέου η επισύναψη δικαιολογητικών.</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Επιδότησης Διακοπών Εργαζομένων, Ανέργων και των Οικογενειών αυτών με Επιταγή Κοινωνικού Τουρισμού περιόδου 2021-2022 υποβάλλουν ηλεκτρονική αίτηση,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προσωρινά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στον ιστότοπο της Δ.ΥΠ.Α.</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ημερών από την επομένη ημέρα της δημοσιεύσεώς τους,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της Δ.ΥΠ.Α.,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στον ιστότοπο της Δ.ΥΠ.Α..</w:t>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Αποκλειoμένων Παρόχων καταρτίζονται από τον Διοικητή της Δ.ΥΠ.Α. ή από το όργανο που αυτός ορίσει.</w:t>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των παρ. 1 και 4 του άρθρου 6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ΣΥΜΒΑΣΗ ΔΙΚΑΙΟΥΧΩΝ -</w:t>
      </w:r>
    </w:p>
    <w:p>
      <w:pPr>
        <w:spacing w:before="240" w:after="240"/>
        <w:rPr>
          <w:lang w:val="el" w:eastAsia="el"/>
        </w:rPr>
      </w:pPr>
      <w:r>
        <w:rPr>
          <w:lang w:val="el" w:eastAsia="el"/>
        </w:rPr>
        <w:t>ΠΑΡΟΧΩΝ, ΟΙΚΟΝΟΜΙΚΗ ΣΥΜΜΕΤΟΧΗ ΤΩΝ ΔΙΚΑΙΟΥΧΩΝ-ΩΦΕΛΟΥΜΕΝΩΝ</w:t>
      </w:r>
    </w:p>
    <w:p>
      <w:pPr>
        <w:pStyle w:val="MainText"/>
        <w:spacing w:before="120" w:after="0"/>
        <w:rPr>
          <w:lang w:val="el" w:eastAsia="el"/>
        </w:rPr>
      </w:pPr>
      <w:r>
        <w:rPr>
          <w:b/>
          <w:bCs/>
          <w:lang w:val="el" w:eastAsia="el"/>
        </w:rPr>
        <w:t>1.</w:t>
      </w:r>
      <w:r>
        <w:rPr>
          <w:lang w:val="el" w:eastAsia="el"/>
        </w:rPr>
        <w:t xml:space="preserve"> α. Οι δικαιούχοι και οι πάροχοι συμπληρώνουν και υπογράφουν ψηφιακά ή ιδιοχείρως προτυποποιημένη, αναρτημένη στον ιστότοπο της Δ.ΥΠ.Α. σύμβαση, σύμφωνα με τους όρους και τις προϋποθέσεις της Δημόσιας Πρόσκλησης. Η από τα συμβαλλόμενα μέρη υπογεγραμμένη ανωτέρω σύμβαση συνυποβάλλεται ηλεκτρονικά κατά την ενεργοποίηση των επιταγών. Η ενεργοποίηση των επιταγών δεν θεωρείται ολοκληρωμένη χωρίς την ηλεκτρονική επισύναψη της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στην παρ. 2.β του άρθρου 4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οριστικό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σύμφωνα με τα αναφερόμενα στην παρ. 3.β του άρθρου 4 της παρούσας. Στην περίπτωση ατόμων με αναπηρία σε ποσοστό 50% και άνω η ιδιωτική συμμετοχή είναι υποχρεωτικά μηδενική.</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 Ακτοπλοϊκής Μετακίνησης είναι δυνατή μόνο για τη μετάβαση/επιστροφή προς/από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προς/ από αυτό. Σε διαφορετική περίπτωση επιβάλλονται στον δικαιούχο οι κυρώσεις του άρθρου 15 της παρούσας.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από την πρώτη του μηνός που έπεται του μήνα λήξης των συμβάσεων της παρ. 1 του άρθρου 11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 ή το όργανο που αυτό ορίσει, μετά από γνώμη του αρμοδίου, σύμφωνα με το ισχύον θεσμικό πλαίσιο, οργάνου (Επιτροπή ΕΛΕΚΠ, Συμβούλιο Κοινωνικών Εταίρων).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ΠΑΡΑΒΑΣΗ ΤΩΝ ΟΡΩΝ ΤΟΥ ΠΡΟΓΡΑΜΜΑΤΟΣ - ΚΥΡΩΣΕΙΣ</w:t>
      </w:r>
    </w:p>
    <w:p>
      <w:pPr>
        <w:pStyle w:val="MainText"/>
        <w:spacing w:before="120" w:after="0"/>
        <w:rPr>
          <w:lang w:val="el" w:eastAsia="el"/>
        </w:rPr>
      </w:pPr>
      <w:r>
        <w:rPr>
          <w:b/>
          <w:bCs/>
          <w:lang w:val="el" w:eastAsia="el"/>
        </w:rPr>
        <w:t>1.</w:t>
      </w:r>
      <w:r>
        <w:rPr>
          <w:lang w:val="el" w:eastAsia="el"/>
        </w:rPr>
        <w:t xml:space="preserve"> Με απόφαση του Δ.Σ. της Δ.ΥΠ.Α. μετά από γνώμη του αρμοδίου, σύμφωνα με το ισχύον θεσμικό πλαίσιο, οργάνου,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ή την επιβολή προστίμου, το ύψος και η κλιμάκωση του οποίου ορίζεται στη Δημόσια Πρόσκληση.</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w:t>
      </w:r>
    </w:p>
    <w:p>
      <w:pPr>
        <w:spacing w:before="240" w:after="240"/>
        <w:rPr>
          <w:lang w:val="el" w:eastAsia="el"/>
        </w:rPr>
      </w:pPr>
      <w:r>
        <w:rPr>
          <w:lang w:val="el" w:eastAsia="el"/>
        </w:rPr>
        <w:t>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άρθρου11 της παρούσας, ο δικαιούχος οφείλει να επιστρέψει στη Δ.ΥΠ.Α. το ποσό της επιδότησης που καταβάλλεται στον Πάροχο Ακτοπλοϊκών Εισιτηρίων, με απόφαση του Δ.Σ. της Δ.ΥΠ.Α. μετά από γνώμη του αρμοδίου, σύμφωνα με το ισχύον θεσμικό πλαίσιο, οργάνου.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ΚΩΝΣΤΑΝΤΙΝΟΣ</w:t>
      </w:r>
    </w:p>
    <w:p>
      <w:pPr>
        <w:spacing w:before="240" w:after="240"/>
        <w:rPr>
          <w:lang w:val="el" w:eastAsia="el"/>
        </w:rPr>
      </w:pPr>
      <w:r>
        <w:rPr>
          <w:b/>
          <w:bCs/>
          <w:lang w:val="el" w:eastAsia="el"/>
        </w:rPr>
        <w:t>ΣΚΥΛΑΚΑΚΗΣ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