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Β2β/Γ.Π.οικ.406</w:t>
      </w:r>
      <w:r>
        <w:rPr>
          <w:lang w:val="el" w:eastAsia="el"/>
        </w:rPr>
        <w:t xml:space="preserve">46 </w:t>
      </w:r>
    </w:p>
    <w:p>
      <w:pPr>
        <w:spacing w:before="240" w:after="240"/>
        <w:rPr>
          <w:lang w:val="el" w:eastAsia="el"/>
        </w:rPr>
      </w:pPr>
      <w:r>
        <w:rPr>
          <w:b/>
          <w:bCs/>
          <w:lang w:val="el" w:eastAsia="el"/>
        </w:rPr>
        <w:t>Μέθοδος υπολογισμού και εφαρμογής του μηχανισμού αυτόματης επιστροφής (Clawback) για τη δαπάνη των φαρμάκων υψηλού κόστους της παρ. 2 του άρθρου 12 του ν. 3816/2010 των φαρμακείων του Ε.Ο.Π.Υ.Υ (νοσοκομειακή και εξωνοσοκομειακή φαρμακευτική δαπάνη των φαρμακείων του Ε.Ο.Π.Υ.Υ.), καθώς και των λοιπών φαρμάκων που χορηγούνται από τα φαρμακεία του Ε.Ο.Π.Υ.Υ., για το έτος 2022.</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90 του π.δ. 63/2005 «Κώδικας Νομοθεσίας για την Κυβέρνηση και τα κυβερνητικά όργανα» (Α’ 98), το οποίο διατηρήθηκε σε ισχύ με την παρ. 22 του άρθρου 119 του ν. 4622/2019 (Α’ 133).</w:t>
      </w:r>
    </w:p>
    <w:p>
      <w:pPr>
        <w:spacing w:before="240" w:after="240"/>
        <w:rPr>
          <w:lang w:val="el" w:eastAsia="el"/>
        </w:rPr>
      </w:pPr>
      <w:r>
        <w:rPr>
          <w:lang w:val="el" w:eastAsia="el"/>
        </w:rPr>
        <w:t>β. Του ν. 3918/2011 «Διαρθρωτικές αλλαγές στο σύστημα υγείας και άλλες διατάξεις» (Α’ 31).</w:t>
      </w:r>
    </w:p>
    <w:p>
      <w:pPr>
        <w:spacing w:before="240" w:after="240"/>
        <w:rPr>
          <w:lang w:val="el" w:eastAsia="el"/>
        </w:rPr>
      </w:pPr>
      <w:r>
        <w:rPr>
          <w:lang w:val="el" w:eastAsia="el"/>
        </w:rPr>
        <w:t>γ. Του άρθρου 11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όπως τροποποιήθηκε με το άρθρο 16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spacing w:before="240" w:after="240"/>
        <w:rPr>
          <w:lang w:val="el" w:eastAsia="el"/>
        </w:rPr>
      </w:pPr>
      <w:r>
        <w:rPr>
          <w:lang w:val="el" w:eastAsia="el"/>
        </w:rPr>
        <w:t>δ. Του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ε. Του άρθρου 87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spacing w:before="240" w:after="240"/>
        <w:rPr>
          <w:lang w:val="el" w:eastAsia="el"/>
        </w:rPr>
      </w:pPr>
      <w:r>
        <w:rPr>
          <w:lang w:val="el" w:eastAsia="el"/>
        </w:rPr>
        <w:t>στ’. Των άρθρων 247-256 του ν. 4512/2018 «Ρυθμίσεις για την εφαρμογή των Διαρθρωτικών Μεταρρυθμίσεων του Προγράμματος Οικονομικής Προσαρμογής και άλλες διατάξεις» (Α’ 5).</w:t>
      </w:r>
    </w:p>
    <w:p>
      <w:pPr>
        <w:spacing w:before="240" w:after="240"/>
        <w:rPr>
          <w:lang w:val="el" w:eastAsia="el"/>
        </w:rPr>
      </w:pPr>
      <w:r>
        <w:rPr>
          <w:lang w:val="el" w:eastAsia="el"/>
        </w:rPr>
        <w:t>ζ. Του άρθρου ενενηκοστού του ν. 4812/2021 «Κύρωση της από 24.3.2021 τροποποίησης της από 3.2.2020 επιμέρους Σύμβασης Δωρεάς για το Έργο I [Παράρτημα 5 του ν. 4564/2018]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COVID-19 και άλλες διατάξεις» (Α’ 110), όπως τροποποιήθηκε με το άρθρο 143 του ν. 4831/2021 «Οργανισμός του Νομικού Συμβουλίου του Κράτους (ΝΣΚ) και κατάσταση των λειτουργών και των υπαλλήλων του και άλλες διατάξεις» (Α’ 170).</w:t>
      </w:r>
    </w:p>
    <w:p>
      <w:pPr>
        <w:spacing w:before="240" w:after="240"/>
        <w:rPr>
          <w:lang w:val="el" w:eastAsia="el"/>
        </w:rPr>
      </w:pPr>
      <w:r>
        <w:rPr>
          <w:lang w:val="el" w:eastAsia="el"/>
        </w:rPr>
        <w:t>η.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θ. Των περ. 4 και 3 της παρ. 4 του άρθρου 2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(A’ 112).</w:t>
      </w:r>
    </w:p>
    <w:p>
      <w:pPr>
        <w:spacing w:before="240" w:after="240"/>
        <w:rPr>
          <w:lang w:val="el" w:eastAsia="el"/>
        </w:rPr>
      </w:pPr>
      <w:r>
        <w:rPr>
          <w:lang w:val="el" w:eastAsia="el"/>
        </w:rPr>
        <w:t>ι. Του π.δ. 121/2017 «Οργανισμός του Υπουργείου Υγείας» (Α’ 128), όπως ισχύει.</w:t>
      </w:r>
    </w:p>
    <w:p>
      <w:pPr>
        <w:spacing w:before="240" w:after="240"/>
        <w:rPr>
          <w:lang w:val="el" w:eastAsia="el"/>
        </w:rPr>
      </w:pPr>
      <w:r>
        <w:rPr>
          <w:lang w:val="el" w:eastAsia="el"/>
        </w:rPr>
        <w:t>ια. Του π.δ. 68/2021 «Διορισμός Υπουργών, Αναπληρώτριας Υπουργού και Υφυπουργών» (Α’ 155).</w:t>
      </w:r>
    </w:p>
    <w:p>
      <w:pPr>
        <w:spacing w:before="240" w:after="240"/>
        <w:rPr>
          <w:lang w:val="el" w:eastAsia="el"/>
        </w:rPr>
      </w:pPr>
      <w:r>
        <w:rPr>
          <w:lang w:val="el" w:eastAsia="el"/>
        </w:rPr>
        <w:t>ιβ. Του άρθρου 62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spacing w:before="240" w:after="240"/>
        <w:rPr>
          <w:lang w:val="el" w:eastAsia="el"/>
        </w:rPr>
      </w:pPr>
      <w:r>
        <w:rPr>
          <w:lang w:val="el" w:eastAsia="el"/>
        </w:rPr>
        <w:t>ιγ. Του άρθρου 77 του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προώθηση της αναδοχής και της υιοθεσίας, “Προσωπικός Βοηθός για τα Άτομα με Αναπηρία” και άλλες διατάξεις» (Α’ 178).</w:t>
      </w:r>
    </w:p>
    <w:p>
      <w:pPr>
        <w:spacing w:before="240" w:after="240"/>
        <w:rPr>
          <w:lang w:val="el" w:eastAsia="el"/>
        </w:rPr>
      </w:pPr>
      <w:r>
        <w:rPr>
          <w:lang w:val="el" w:eastAsia="el"/>
        </w:rPr>
        <w:t>2. Την υπό στοιχεία ΓΠ. οικ.80277/27.12.2021 (Β’ 6247) κοινή υπουργική απόφαση, σχετικά με τη διαδικασία, τους όρους και τις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w:t>
      </w:r>
    </w:p>
    <w:p>
      <w:pPr>
        <w:spacing w:before="240" w:after="240"/>
        <w:rPr>
          <w:lang w:val="el" w:eastAsia="el"/>
        </w:rPr>
      </w:pPr>
      <w:r>
        <w:rPr>
          <w:lang w:val="el" w:eastAsia="el"/>
        </w:rPr>
        <w:t>3. Το υπό στοιχεία ΔΒ4ΑΖ/Γ24/10/οικ.15029/10.6.2022 έγγραφο της Διεύθυνσης Φαρμάκου του Ε.Ο.Π.Υ.Υ..</w:t>
      </w:r>
    </w:p>
    <w:p>
      <w:pPr>
        <w:spacing w:before="240" w:after="240"/>
        <w:rPr>
          <w:lang w:val="el" w:eastAsia="el"/>
        </w:rPr>
      </w:pPr>
      <w:r>
        <w:rPr>
          <w:lang w:val="el" w:eastAsia="el"/>
        </w:rPr>
        <w:t>4. Η υπό στοιχεία Β2β/Γ.Π.οικ.35716/20.6.2022 εισήγηση του ΓΔΟΥ της περ. (ε) της παρ. 5 του άρθρου 24 του ν. 4270/2014.</w:t>
      </w:r>
    </w:p>
    <w:p>
      <w:pPr>
        <w:spacing w:before="240" w:after="240"/>
        <w:rPr>
          <w:lang w:val="el" w:eastAsia="el"/>
        </w:rPr>
      </w:pPr>
      <w:r>
        <w:rPr>
          <w:lang w:val="el" w:eastAsia="el"/>
        </w:rPr>
        <w:t>5. Τις συμφωνίες που συνήφθησαν στο πλαίσιο εφαρμογής των άρθρων 247-256 του ν. 4512/2018 (Α’ 5).</w:t>
      </w:r>
    </w:p>
    <w:p>
      <w:pPr>
        <w:spacing w:before="240" w:after="240"/>
        <w:rPr>
          <w:lang w:val="el" w:eastAsia="el"/>
        </w:rPr>
      </w:pPr>
      <w:r>
        <w:rPr>
          <w:lang w:val="el" w:eastAsia="el"/>
        </w:rPr>
        <w:t>6. Το γεγονός ότι από την παρούσα απόφαση δεν προκαλείται δαπάνη σε βάρος του κρατικού προϋπολογισμού και του προϋπολογισμού του Ε.Ο.Π.Υ.Υ., αποφασίζει:</w:t>
      </w:r>
    </w:p>
    <w:p>
      <w:pPr>
        <w:spacing w:before="240" w:after="240"/>
        <w:rPr>
          <w:lang w:val="el" w:eastAsia="el"/>
        </w:rPr>
      </w:pPr>
      <w:r>
        <w:rPr>
          <w:lang w:val="el" w:eastAsia="el"/>
        </w:rPr>
        <w:t>1. Τον καθορισμό της μεθόδου υπολογισμού της υπέρβασης των ποσών που αφορούν στη φαρμακευτική δαπάνη των φαρμάκων υψηλού κόστους της παρ. 2 του άρθρου 12 του ν. 3816/2010 των φαρμακείων του Ε.Ο.Π.Υ.Υ. (νοσοκομειακή και εξωνοσοκομειακή φαρμακευτική δαπάνη των φαρμακείων του Ε.Ο.Π.Υ.Υ.), καθώς και των λοιπών φαρμάκων που χορηγούνται από τα φαρμακεία του Ε.Ο.Π.Υ.Υ., για το έτος 2022, ως ακολούθως:</w:t>
      </w:r>
    </w:p>
    <w:p>
      <w:pPr>
        <w:spacing w:before="240" w:after="240"/>
        <w:rPr>
          <w:lang w:val="el" w:eastAsia="el"/>
        </w:rPr>
      </w:pPr>
      <w:r>
        <w:rPr>
          <w:lang w:val="el" w:eastAsia="el"/>
        </w:rPr>
        <w:t>Σε πρώτο στάδιο υπολογίζεται η συνολική νοσοκομειακή φαρμακευτική δαπάνη των φαρμακείων του Ε.Ο.Π.Υ.Υ., που προκύπτει από τα τιμολόγια που εκδόθηκαν για όλα τα φαρμακευτικά προϊόντα σε νοσοκομειακές τιμές, μετά την αφαίρεση του ποσοστού έκπτωσης 5%, όπως προβλέπεται στην παρ. 2 του άρθρου 35 του ν. 3918/2011 (Α’ 31), συμπεριλαμβανομένου ΦΠΑ.</w:t>
      </w:r>
    </w:p>
    <w:p>
      <w:pPr>
        <w:spacing w:before="240" w:after="240"/>
        <w:rPr>
          <w:lang w:val="el" w:eastAsia="el"/>
        </w:rPr>
      </w:pPr>
      <w:r>
        <w:rPr>
          <w:lang w:val="el" w:eastAsia="el"/>
        </w:rPr>
        <w:t>Σε δεύτερο στάδιο και σε περίπτωση υπέρβασης των προβλεπόμενων από τις διατάξεις του άρθρου 22 του ν. 4931/2022 (Α’ 94) ορίων, το ποσό αυτό επιμερίζεται στις εταιρείες ή στους ΚΑΚ με βάση το τελικό μερίδιο αγοράς κάθε εταιρείας ή ΚΑΚ. Το τελικό μερίδιο κάθε εταιρείας ή ΚΑΚ προκύπτει βάσει των πωλήσεων στην αρχική αξία των τιμολογίων για όλα τα προϊόντα της (νοσοκομειακή τιμή μείον θεσμοθετημένη έκπτωση 5%) δια της συνολικής νοσοκομειακής φαρμακευτικής δαπάνης.</w:t>
      </w:r>
    </w:p>
    <w:p>
      <w:pPr>
        <w:spacing w:before="240" w:after="240"/>
        <w:rPr>
          <w:lang w:val="el" w:eastAsia="el"/>
        </w:rPr>
      </w:pPr>
      <w:r>
        <w:rPr>
          <w:lang w:val="el" w:eastAsia="el"/>
        </w:rPr>
        <w:t>Από το ποσό που θα προκύψει από τον ως άνω υπολογισμό, ανά φαρμακευτική εταιρεία ή ΚΑΚ, αφαιρούνται οι προαιρετικές εκπτώσεις που έχει προσφέρει και το ποσό επιστροφής της παρ. 3 του άρθρου 35 του ν. 3918/2011 (Α’ 31), καθώς και το rebate της παρ. 2α του ν. 3918/2021 που έχει καταλογιστεί σε κάθε εταιρεία ή ΚΑΚ, ώστε να προκύψει το τελικό ποσό υπέρβασης της νοσοκομειακής φαρμακευτικής δαπάνης που θα καταλογιστεί σε κάθε εταιρεία ή ΚΑΚ.</w:t>
      </w:r>
    </w:p>
    <w:p>
      <w:pPr>
        <w:spacing w:before="240" w:after="240"/>
        <w:rPr>
          <w:lang w:val="el" w:eastAsia="el"/>
        </w:rPr>
      </w:pPr>
      <w:r>
        <w:rPr>
          <w:lang w:val="el" w:eastAsia="el"/>
        </w:rPr>
        <w:t>2. Τα αναφερόμενα ως άνω εφαρμόζονται και στον μηχανισμό αυτόματης επιστροφής (claw back) επί των φαρμακευτικών σκευασμάτων που έχουν ενταχθεί σε κλειστό Προϋπολογισμό δυνάμει σχετικών Υπουργικών Αποφάσεων και για τα οποία έχουν υπογραφεί σχετικά συμφωνητικά μεταξύ των αντίστοιχων Φαρμακευτικών Εταιρειών ή Κατόχων Αδειών Κυκλοφορίας (ΚΑΚ) και την Επιτροπή Διαπραγμάτευσης Τιμών Φαρμάκων του άρθρου 254 του ν. 4512/2018.</w:t>
      </w:r>
    </w:p>
    <w:p>
      <w:pPr>
        <w:spacing w:before="240" w:after="240"/>
        <w:rPr>
          <w:lang w:val="el" w:eastAsia="el"/>
        </w:rPr>
      </w:pPr>
      <w:r>
        <w:rPr>
          <w:lang w:val="el" w:eastAsia="el"/>
        </w:rPr>
        <w:t>Ειδικότερα, από το όριο της φαρμακευτικής δαπάνης αφαιρούνται τα ποσά των κλειστών προϋπολογισμών και εν συνεχεία υπολογίζεται η πραγματοποιηθείσα φαρμακευτική δαπάνη για τα ως άνω φαρμακευτικά προϊόντα σε σχέση με τον προϋπολογισθέντα κλειστό προϋπολογισμό που τους αναλογεί. Εξυπακούεται ότι σε περίπτωση που δεν έχουν εξαντληθεί τα ποσά που έχουν προϋπολογισθεί με τους αντίστοιχους κλειστούς προϋπολογισμούς, τότε η διαφορά της πραγματοποιηθείσας δαπάνης από την προϋπολογισθείσα, επιστρέφεται στο ποσό της συνολικής φαρμακευτικής δαπάνης για τον καθορισμό της υπέρβασης αυτού.</w:t>
      </w:r>
    </w:p>
    <w:p>
      <w:pPr>
        <w:spacing w:before="240" w:after="240"/>
        <w:rPr>
          <w:lang w:val="el" w:eastAsia="el"/>
        </w:rPr>
      </w:pPr>
      <w:r>
        <w:rPr>
          <w:lang w:val="el" w:eastAsia="el"/>
        </w:rPr>
        <w:t>3. Το τελικό ποσό επιστροφής (clawback) αποτελεί έσοδο και εγγράφεται στον Κ.Α. Εσόδων 5693 του προϋπολογισμού του Ε.Ο.Π.Υ.Υ, τρέχοντος έτους και καταβάλλεται σε τραπεζικό λογαριασμό της ταμειακής διαχείρισης του Ε.Ο.Π.Υ.Υ. ή συμψηφίζεται με ισόποσες οφειλές τους προς τους αντίστοιχους προμηθευτές.</w:t>
      </w:r>
    </w:p>
    <w:p>
      <w:pPr>
        <w:spacing w:before="240" w:after="240"/>
        <w:rPr>
          <w:lang w:val="el" w:eastAsia="el"/>
        </w:rPr>
      </w:pPr>
      <w:r>
        <w:rPr>
          <w:lang w:val="el" w:eastAsia="el"/>
        </w:rPr>
        <w:t>4. Ο υπολογισμός και η επιβολή του ποσού επιστροφής για την νοσοκομειακή φαρμακευτική δαπάνη του Ε.Ο.Π.Υ.Υ. ανά φαρμακευτική εταιρία ή ΚΑΚ, γίνεται από τον Ε.Ο.Π.Υ.Υ.</w:t>
      </w:r>
    </w:p>
    <w:p>
      <w:pPr>
        <w:spacing w:before="240" w:after="240"/>
        <w:rPr>
          <w:lang w:val="el" w:eastAsia="el"/>
        </w:rPr>
      </w:pPr>
      <w:r>
        <w:rPr>
          <w:lang w:val="el" w:eastAsia="el"/>
        </w:rPr>
        <w:t>5. Σε περίπτωση μη συμμόρφωσης των φαρμακευτικών εταιρειών ή κατόχων άδειας κυκλοφορίας φαρμακευτικών προϊόντων (ΚΑΚ), με το περιεχόμενο της παρούσας απόφασης, εφαρμόζονται οι προβλεπόμενες από τη νομοθεσία κυρώσεις.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11 Ιουλίου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