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1142/202042</w:t>
      </w:r>
    </w:p>
    <w:p>
      <w:pPr>
        <w:pStyle w:val="PreambelText"/>
        <w:spacing w:before="240" w:after="240"/>
        <w:rPr>
          <w:lang w:val="el" w:eastAsia="el"/>
        </w:rPr>
      </w:pPr>
      <w:r>
        <w:rPr>
          <w:b/>
          <w:bCs/>
          <w:lang w:val="el" w:eastAsia="el"/>
        </w:rPr>
        <w:t>Τροποποίηση της υπ’ αρ. 491/62337/07.05.2019 κοινής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ΕΞΩΤΕΡΙΚΩΝ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 78).</w:t>
      </w:r>
    </w:p>
    <w:p>
      <w:pPr>
        <w:pStyle w:val="StructureList1"/>
        <w:spacing w:before="120" w:after="0"/>
        <w:rPr>
          <w:lang w:val="el" w:eastAsia="el"/>
        </w:rPr>
      </w:pPr>
      <w:r>
        <w:rPr>
          <w:lang w:val="el" w:eastAsia="el"/>
        </w:rPr>
        <w:t>β)</w:t>
      </w:r>
      <w:r>
        <w:rPr>
          <w:lang w:val="en" w:eastAsia="en"/>
        </w:rPr>
        <w:tab/>
      </w:r>
      <w:r>
        <w:rPr>
          <w:lang w:val="el" w:eastAsia="el"/>
        </w:rPr>
        <w:t>Των άρθρων 23, 66, 79 και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2014- 2020.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δ)</w:t>
      </w:r>
      <w:r>
        <w:rPr>
          <w:lang w:val="en" w:eastAsia="en"/>
        </w:rPr>
        <w:tab/>
      </w:r>
      <w:r>
        <w:rPr>
          <w:lang w:val="el" w:eastAsia="el"/>
        </w:rPr>
        <w:t>Tων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w:t>
      </w:r>
    </w:p>
    <w:p>
      <w:pPr>
        <w:pStyle w:val="StructureList1"/>
        <w:spacing w:before="120" w:after="0"/>
        <w:rPr>
          <w:lang w:val="el" w:eastAsia="el"/>
        </w:rPr>
      </w:pPr>
      <w:r>
        <w:rPr>
          <w:lang w:val="el" w:eastAsia="el"/>
        </w:rPr>
        <w:t>ε)</w:t>
      </w:r>
      <w:r>
        <w:rPr>
          <w:lang w:val="en" w:eastAsia="en"/>
        </w:rPr>
        <w:tab/>
      </w:r>
      <w:r>
        <w:rPr>
          <w:lang w:val="el" w:eastAsia="el"/>
        </w:rPr>
        <w:t>Των υποπαρ. Β2 έως Β11 του ν. 4152/2013 «Επείγοντα μέτρα εφαρμογής των 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Α’98), όπως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(L 347/20.12.2013),</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κανονισμού (ΕΕ) αριθ.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αριθ. 555/2008 της Επιτροπής (L 190/15.07.2016),</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κανονισμού (ΕΕ) αριθ. 1308/2013 του Ευρωπαϊκού Κοινοβουλίου και του Συμβουλίου όσον αφορά τα εθνικά προγράμματα στήριξης του αμπελοοινικού τομέα (L 190/15.07.2016),</w:t>
      </w:r>
    </w:p>
    <w:p>
      <w:pPr>
        <w:pStyle w:val="StructureList1"/>
        <w:spacing w:before="120" w:after="0"/>
        <w:rPr>
          <w:lang w:val="el" w:eastAsia="el"/>
        </w:rPr>
      </w:pPr>
      <w:r>
        <w:rPr>
          <w:lang w:val="el" w:eastAsia="el"/>
        </w:rPr>
        <w:t>δ)</w:t>
      </w:r>
      <w:r>
        <w:rPr>
          <w:lang w:val="en" w:eastAsia="en"/>
        </w:rPr>
        <w:tab/>
      </w:r>
      <w:r>
        <w:rPr>
          <w:lang w:val="el" w:eastAsia="el"/>
        </w:rPr>
        <w:t>(EE)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 (L 347/20.12.2013),</w:t>
      </w:r>
    </w:p>
    <w:p>
      <w:pPr>
        <w:pStyle w:val="StructureList1"/>
        <w:spacing w:before="120" w:after="0"/>
        <w:rPr>
          <w:lang w:val="el" w:eastAsia="el"/>
        </w:rPr>
      </w:pPr>
      <w:r>
        <w:rPr>
          <w:lang w:val="el" w:eastAsia="el"/>
        </w:rPr>
        <w:t>ε)</w:t>
      </w:r>
      <w:r>
        <w:rPr>
          <w:lang w:val="en" w:eastAsia="en"/>
        </w:rPr>
        <w:tab/>
      </w:r>
      <w:r>
        <w:rPr>
          <w:lang w:val="el" w:eastAsia="el"/>
        </w:rPr>
        <w:t>(ΕΕ)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193/01.07.2014),</w:t>
      </w:r>
    </w:p>
    <w:p>
      <w:pPr>
        <w:pStyle w:val="StructureList1"/>
        <w:spacing w:before="120" w:after="0"/>
        <w:rPr>
          <w:lang w:val="el" w:eastAsia="el"/>
        </w:rPr>
      </w:pPr>
      <w:r>
        <w:rPr>
          <w:lang w:val="el" w:eastAsia="el"/>
        </w:rPr>
        <w:t>στ)</w:t>
      </w:r>
      <w:r>
        <w:rPr>
          <w:lang w:val="en" w:eastAsia="en"/>
        </w:rPr>
        <w:tab/>
      </w:r>
      <w:r>
        <w:rPr>
          <w:lang w:val="el" w:eastAsia="el"/>
        </w:rPr>
        <w:t>κατ’ εξουσιοδότηση Κανονισμό (ΕΕ) 2020/419 της Επιτροπής, της 30ής Ιανουαρίου 2020, σχετικά με παρέκκλιση από τον κατ’ εξουσιοδότηση κανονισμό (ΕΕ) 2016/1149 για τη συμπλήρωση του κανονισμού (ΕΕ) αριθ. 1308/2013 του Ευρωπαϊκού Κοινοβουλίου και του Συμβουλίου όσον αφορά τα εθνικά προγράμματα στήριξης του αμπελοοινικού τομέα (L 84/20.03.2020),</w:t>
      </w:r>
    </w:p>
    <w:p>
      <w:pPr>
        <w:pStyle w:val="StructureList1"/>
        <w:spacing w:before="120" w:after="0"/>
        <w:rPr>
          <w:lang w:val="el" w:eastAsia="el"/>
        </w:rPr>
      </w:pPr>
      <w:r>
        <w:rPr>
          <w:lang w:val="el" w:eastAsia="el"/>
        </w:rPr>
        <w:t>ζ)</w:t>
      </w:r>
      <w:r>
        <w:rPr>
          <w:lang w:val="en" w:eastAsia="en"/>
        </w:rPr>
        <w:tab/>
      </w:r>
      <w:r>
        <w:rPr>
          <w:lang w:val="el" w:eastAsia="el"/>
        </w:rPr>
        <w:t>εκτελεστικό Κανονισμό (ΕΕ) 2020/532 της Επιτροπής, της 16ης Απριλίου 2020, σχετικά με παρέκκλιση, για το έτος 2020, από τους εκτελεστικούς κανονισμούς (ΕΕ) αριθ. 809/2014, (ΕΕ) αριθ. 180/2014, (ΕΕ) αριθ. 181/2014, (ΕΕ) αριθ. 2017/892, (ΕΕ) 2016/1150, (ΕΕ) 2018/274, (ΕΕ) 2017/39, (ΕΕ) 2015/1368 και (ΕΕ) 2016/1240 όσον αφορά ορισμένους διοικητικούς και επιτόπιους ελέγχους που πραγματοποιούνται στο πλαίσιο της κοινής γεωργικής πολιτικής (L 119/17.04.2020),</w:t>
      </w:r>
    </w:p>
    <w:p>
      <w:pPr>
        <w:pStyle w:val="StructureList1"/>
        <w:spacing w:before="120" w:after="0"/>
        <w:rPr>
          <w:lang w:val="el" w:eastAsia="el"/>
        </w:rPr>
      </w:pPr>
      <w:r>
        <w:rPr>
          <w:lang w:val="el" w:eastAsia="el"/>
        </w:rPr>
        <w:t>η)</w:t>
      </w:r>
      <w:r>
        <w:rPr>
          <w:lang w:val="en" w:eastAsia="en"/>
        </w:rPr>
        <w:tab/>
      </w:r>
      <w:r>
        <w:rPr>
          <w:lang w:val="el" w:eastAsia="el"/>
        </w:rPr>
        <w:t>κατ’ εξουσιοδότηση Κανονισμό (ΕΕ) 2020/592 της Επιτροπής, της 30ής Απριλίου 2020,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140/04.05.2020),</w:t>
      </w:r>
    </w:p>
    <w:p>
      <w:pPr>
        <w:pStyle w:val="StructureList1"/>
        <w:spacing w:before="120" w:after="0"/>
        <w:rPr>
          <w:lang w:val="el" w:eastAsia="el"/>
        </w:rPr>
      </w:pPr>
      <w:r>
        <w:rPr>
          <w:lang w:val="el" w:eastAsia="el"/>
        </w:rPr>
        <w:t>θ)</w:t>
      </w:r>
      <w:r>
        <w:rPr>
          <w:lang w:val="en" w:eastAsia="en"/>
        </w:rPr>
        <w:tab/>
      </w:r>
      <w:r>
        <w:rPr>
          <w:lang w:val="el" w:eastAsia="el"/>
        </w:rPr>
        <w:t>κατ’ εξουσιοδότηση Κανονισμό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(L 205/29.06.2020),</w:t>
      </w:r>
    </w:p>
    <w:p>
      <w:pPr>
        <w:pStyle w:val="StructureList1"/>
        <w:spacing w:before="120" w:after="0"/>
        <w:rPr>
          <w:lang w:val="el" w:eastAsia="el"/>
        </w:rPr>
      </w:pPr>
      <w:r>
        <w:rPr>
          <w:lang w:val="el" w:eastAsia="el"/>
        </w:rPr>
        <w:t>ι)</w:t>
      </w:r>
      <w:r>
        <w:rPr>
          <w:lang w:val="en" w:eastAsia="en"/>
        </w:rPr>
        <w:tab/>
      </w:r>
      <w:r>
        <w:rPr>
          <w:lang w:val="el" w:eastAsia="el"/>
        </w:rPr>
        <w:t>εκτελεστικό Κανονισμό (ΕΕ) 2021/725 της Επιτροπής, της 4ης Μαΐου 2021, σχετικά με παρέκκλιση, για το έτος 2021, από τους εκτελεστικούς κανονισμούς (ΕΕ) αριθ. 809/2014, (ΕΕ) αριθ. 180/2014, (ΕΕ) αριθ. 181/2014, (ΕΕ) 2017/892, (ΕΕ) 2016/1150, (ΕΕ) 2018/274, (ΕΕ) αριθ. 615/2014 και (ΕΕ) 2015/1368 όσον αφορά ορισμένους διοικητικούς και επιτόπιους ελέγχους που πραγματοποιούνται στο πλαίσιο της κοινής γεωργικής πολιτικής (L 155/05.05.2021).</w:t>
      </w:r>
    </w:p>
    <w:p>
      <w:pPr>
        <w:pStyle w:val="PreambelText"/>
        <w:spacing w:before="240" w:after="240"/>
        <w:rPr>
          <w:lang w:val="el" w:eastAsia="el"/>
        </w:rPr>
      </w:pPr>
      <w:r>
        <w:rPr>
          <w:lang w:val="el" w:eastAsia="el"/>
        </w:rPr>
        <w:t>3.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5/2022 «Οργανισμός Υπουργείου Ανάπτυξης και Επενδύσεων» (Α’ 15).</w:t>
      </w:r>
    </w:p>
    <w:p>
      <w:pPr>
        <w:pStyle w:val="PreambelText"/>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4412/2016 «Δημόσιες Συμβάσεις Έργων, Προμηθειών και Υπηρεσιών προσαρμογή στις Οδηγίες 2014/24/ ΕΕ και 2014/25/ΕΕ» (Α’ 147).</w:t>
      </w:r>
    </w:p>
    <w:p>
      <w:pPr>
        <w:pStyle w:val="PreambelText"/>
        <w:spacing w:before="240" w:after="240"/>
        <w:rPr>
          <w:lang w:val="el" w:eastAsia="el"/>
        </w:rPr>
      </w:pPr>
      <w:r>
        <w:rPr>
          <w:lang w:val="el" w:eastAsia="el"/>
        </w:rPr>
        <w:t>8. Το π.δ. 8/2022 «Διορισμός Υπουργού Αγροτικής Ανάπτυξης και Τροφίμων» (Α’ 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Το Εθνικό Πρόγραμμα Στήριξης του αμπελοοινικού τομέα για την περίοδο 2019 - 2023, όπως έχει εγκριθεί από την Ευρωπαϊκή Επιτροπή.</w:t>
      </w:r>
    </w:p>
    <w:p>
      <w:pPr>
        <w:pStyle w:val="PreambelText"/>
        <w:spacing w:before="240" w:after="240"/>
        <w:rPr>
          <w:lang w:val="el" w:eastAsia="el"/>
        </w:rPr>
      </w:pPr>
      <w:r>
        <w:rPr>
          <w:lang w:val="el" w:eastAsia="el"/>
        </w:rPr>
        <w:t>11. Την υπ’ αρ. 511/83903/29.3.2022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12. Την υπ’ αρ. 491/62337/07.05.2019 κοινή υπουργική απόφαση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επιπρόσθετη δαπάνη για την κάλυψη της εθνικής συμμετοχής για την υλοποίηση του προγράμματος ΠΡΟΩΘΗΣΗ ΟΙΝΩΝ ΣΕ ΑΓΟΡΕΣ ΤΡΙΤΩΝ ΧΩΡΩΝ οικονομικών ετών 2019 έως 2023, πέραν αυτής που έχει εγκριθεί με την υπ’ αρ. 491/62337/07.05.2019 κοινή υπουργική απόφαση (Β’ 1549),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Τροποποίηση της υπ’ αρ. 491/62337/07.05.2019 κοινής υπουργικής απόφασης (Β’ 1549)</w:t>
      </w:r>
    </w:p>
    <w:p>
      <w:pPr>
        <w:spacing w:before="240" w:after="240"/>
        <w:rPr>
          <w:lang w:val="el" w:eastAsia="el"/>
        </w:rPr>
      </w:pPr>
      <w:r>
        <w:rPr>
          <w:lang w:val="el" w:eastAsia="el"/>
        </w:rPr>
        <w:t>Το άρθρο 18 της υπ’ αρ. 491/62337/07.05.2019 κοινής απόφασης των Υπουργών Οικονομίας και Ανάπτυξης, Εξωτερικών και Αγροτικής Ανάπτυξης και Τροφίμων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Στο τέλος της παρ. 1 προστίθεται εδάφιο ως εξής:</w:t>
      </w:r>
    </w:p>
    <w:p>
      <w:pPr>
        <w:spacing w:before="240" w:after="240"/>
        <w:rPr>
          <w:lang w:val="el" w:eastAsia="el"/>
        </w:rPr>
      </w:pPr>
      <w:r>
        <w:rPr>
          <w:lang w:val="el" w:eastAsia="el"/>
        </w:rPr>
        <w:t>«Για τις αιτήσεις στήριξης προγραμμάτων προώθησης που υποβλήθηκαν και εγκρίθηκαν με βάση τις υπ’ αρ. 806/178189/7.7.2021, υπ’ αρ. 974/204464/2.8.2021 και υπ’ αρ. 1158/233790/1.9.2021 προσκλήσεις του ΥΠΑΑΤ, η προθεσμία του πρώτου εδαφίου παρατείνεται από τη λήξη της και λήγει στις 5 Αυγούστου 2022.».</w:t>
      </w:r>
    </w:p>
    <w:p>
      <w:pPr>
        <w:pStyle w:val="StructureList1"/>
        <w:spacing w:before="120" w:after="0"/>
        <w:rPr>
          <w:lang w:val="el" w:eastAsia="el"/>
        </w:rPr>
      </w:pPr>
      <w:r>
        <w:rPr>
          <w:lang w:val="el" w:eastAsia="el"/>
        </w:rPr>
        <w:t>β)</w:t>
      </w:r>
      <w:r>
        <w:rPr>
          <w:lang w:val="en" w:eastAsia="en"/>
        </w:rPr>
        <w:tab/>
      </w:r>
      <w:r>
        <w:rPr>
          <w:lang w:val="el" w:eastAsia="el"/>
        </w:rPr>
        <w:t>Στο τέλος της παρ. 2 προστίθεται εδάφιο ως εξής:</w:t>
      </w:r>
    </w:p>
    <w:p>
      <w:pPr>
        <w:spacing w:before="240" w:after="240"/>
        <w:rPr>
          <w:lang w:val="el" w:eastAsia="el"/>
        </w:rPr>
      </w:pPr>
      <w:r>
        <w:rPr>
          <w:lang w:val="el" w:eastAsia="el"/>
        </w:rPr>
        <w:t>«Για τις αιτήσεις στήριξης προγραμμάτων προώθησης που υποβλήθηκαν και εγκρίθηκαν με βάση τις υπ’ αρ. 806/178189/7.7.2021, υπ’ αρ. 974/204464/2.8.2021 και υπ’ αρ. 1158/233790/1.9.2021 προσκλήσεις του ΥΠΑΑΤ, η προθεσμία του δεύτερου εδαφίου παρατείνεται από τη λήξη της και λήγει στις 5 Αυγούστου 2022.».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