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70757/13.07.2022</w:t>
      </w:r>
    </w:p>
    <w:p>
      <w:pPr>
        <w:pStyle w:val="Title"/>
        <w:spacing w:before="120" w:after="360"/>
        <w:rPr>
          <w:lang w:val="el" w:eastAsia="el"/>
        </w:rPr>
      </w:pPr>
      <w:r>
        <w:rPr>
          <w:lang w:val="el" w:eastAsia="el"/>
        </w:rPr>
        <w:t>Καθορισμός του ποσού, κατά είδος ενισχύσεων, για τα επενδυτικά σχέδια που υπάγονται στο καθεστώς ενισχύσεων «Μεταποίηση - Εφοδιαστική Αλυσίδα» του αναπτυξιακού ν. 4887/2022, του έτους 2022</w:t>
      </w:r>
    </w:p>
    <w:p>
      <w:pPr>
        <w:pStyle w:val="Title"/>
        <w:spacing w:before="120" w:after="360"/>
        <w:rPr>
          <w:lang w:val="el" w:eastAsia="el"/>
        </w:rPr>
      </w:pPr>
      <w:r>
        <w:rPr>
          <w:b/>
          <w:bCs/>
          <w:lang w:val="el" w:eastAsia="el"/>
        </w:rPr>
        <w:t>Αριθμ. 70757/2022</w:t>
      </w:r>
    </w:p>
    <w:p>
      <w:pPr>
        <w:pStyle w:val="PreambelText"/>
        <w:spacing w:before="240" w:after="240"/>
        <w:rPr>
          <w:lang w:val="el" w:eastAsia="el"/>
        </w:rPr>
      </w:pPr>
      <w:r>
        <w:rPr>
          <w:lang w:val="el" w:eastAsia="el"/>
        </w:rPr>
        <w:t>(ΦΕΚ Β' 3702/13-07-2022)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4887/2022 «Αναπτυξιακός Νόμος - Ελλάδα Ισχυρή Ανάπτυξη» (Α'16) και ειδικότερα την παρ. 3 του άρθρου 29, καθώς και τα άρθρα 72 έως 77, αυτού.</w:t>
      </w:r>
    </w:p>
    <w:p>
      <w:pPr>
        <w:pStyle w:val="PreambelText"/>
        <w:spacing w:before="240" w:after="240"/>
        <w:rPr>
          <w:lang w:val="el" w:eastAsia="el"/>
        </w:rPr>
      </w:pPr>
      <w:r>
        <w:rPr>
          <w:lang w:val="el" w:eastAsia="el"/>
        </w:rPr>
        <w:t>2. Τον Γενικού Απαλλακτικού Κανονισμού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 L 187/26.06.2014, σ. 1-178).</w:t>
      </w:r>
    </w:p>
    <w:p>
      <w:pPr>
        <w:pStyle w:val="PreambelText"/>
        <w:spacing w:before="240" w:after="240"/>
        <w:rPr>
          <w:lang w:val="el" w:eastAsia="el"/>
        </w:rPr>
      </w:pPr>
      <w:r>
        <w:rPr>
          <w:lang w:val="el" w:eastAsia="el"/>
        </w:rPr>
        <w:t>3. Τον ν. 4270/2014 «Αρχές δημοσιονομικής διαχείρισης και εποπτείας (ενσωμάτωση της Οδηγίας 2011/85/ ΕΕ) - δημόσιο λογιστικό και άλλες διατάξεις» (Α'143), όπως τροποποιήθηκε με το άρθρο 10 του ν. 4337/2015 (Α'129).</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διόρθωσης» (Α'133).</w:t>
      </w:r>
    </w:p>
    <w:p>
      <w:pPr>
        <w:pStyle w:val="PreambelText"/>
        <w:spacing w:before="240" w:after="240"/>
        <w:rPr>
          <w:lang w:val="el" w:eastAsia="el"/>
        </w:rPr>
      </w:pPr>
      <w:r>
        <w:rPr>
          <w:lang w:val="el" w:eastAsia="el"/>
        </w:rPr>
        <w:t>5. Το άρθρο 90 του Κώδικα Νομοθεσίας για την Κυβέρνηση και κυβερνητικά όργανα, (π.δ. 63/2005, Α'98) το οποίο διατηρήθηκεσε ισχύ με την παρ. 22 του άρθρου 119 του ν. 4622/2019 (Α'133).</w:t>
      </w:r>
    </w:p>
    <w:p>
      <w:pPr>
        <w:pStyle w:val="PreambelText"/>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(Α'119).</w:t>
      </w:r>
    </w:p>
    <w:p>
      <w:pPr>
        <w:pStyle w:val="PreambelText"/>
        <w:spacing w:before="240" w:after="240"/>
        <w:rPr>
          <w:lang w:val="el" w:eastAsia="el"/>
        </w:rPr>
      </w:pPr>
      <w:r>
        <w:rPr>
          <w:lang w:val="el" w:eastAsia="el"/>
        </w:rPr>
        <w:t>7. Το π.δ. 5/2022 «Οργανισμός Υπουργείου Ανάπτυξης και Επενδύσεων» (Α'15).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(Α'121).</w:t>
      </w:r>
    </w:p>
    <w:p>
      <w:pPr>
        <w:pStyle w:val="PreambelText"/>
        <w:spacing w:before="240" w:after="240"/>
        <w:rPr>
          <w:lang w:val="el" w:eastAsia="el"/>
        </w:rPr>
      </w:pPr>
      <w:r>
        <w:rPr>
          <w:lang w:val="el" w:eastAsia="el"/>
        </w:rPr>
        <w:t>9. Το π.δ. 84/2019 «Σύσταση και κατάργηση Γενικών Γραμματειών και Ειδικών Γραμματειών/Ενιαίων Διοικητικών Τομέων Υπουργείων» (Α'123).</w:t>
      </w:r>
    </w:p>
    <w:p>
      <w:pPr>
        <w:pStyle w:val="PreambelText"/>
        <w:spacing w:before="240" w:after="240"/>
        <w:rPr>
          <w:lang w:val="el" w:eastAsia="el"/>
        </w:rPr>
      </w:pPr>
      <w:r>
        <w:rPr>
          <w:lang w:val="el" w:eastAsia="el"/>
        </w:rPr>
        <w:t>10. Το π.δ. 62/2020 «Διορισμός Αναπληρωτών Υπουργών και Υφυπουργών» (Α'155).</w:t>
      </w:r>
    </w:p>
    <w:p>
      <w:pPr>
        <w:pStyle w:val="PreambelText"/>
        <w:spacing w:before="240" w:after="240"/>
        <w:rPr>
          <w:lang w:val="el" w:eastAsia="el"/>
        </w:rPr>
      </w:pPr>
      <w:r>
        <w:rPr>
          <w:lang w:val="el" w:eastAsia="el"/>
        </w:rPr>
        <w:t>11.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12. Την υπό στοιχεία Υ 35/23.09.2021 απόφαση του Πρωθυπουργού «Ανάθεση αρμοδιοτήτων στον Αναπληρωτή Υπουργό Ανάπτυξης και Επενδύσεων, Νικόλαο Παπαθανάση» (Β' 4405).</w:t>
      </w:r>
    </w:p>
    <w:p>
      <w:pPr>
        <w:pStyle w:val="PreambelText"/>
        <w:spacing w:before="240" w:after="240"/>
        <w:rPr>
          <w:lang w:val="el" w:eastAsia="el"/>
        </w:rPr>
      </w:pPr>
      <w:r>
        <w:rPr>
          <w:lang w:val="el" w:eastAsia="el"/>
        </w:rPr>
        <w:t>13. Την υπ' αρ. 51875/07.05.2021 κοινή απόφαση Πρωθυπουργού και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14. Την υπ' αρ. 34048/31.03.2022 (Ορθή επανάληψη 01.04.2022) εισήγηση της Γενικής Διεύθυνσης Οικονομικών Υπηρεσιών (παρ. 5 ε του άρθρου 24 του ν. 4270/2014) του Αναπληρωτή Προϊσταμένου Γενικής Διεύθυνσης Οικονομικών Υπηρεσιών του Υπουργείου Ανάπτυξης και Επενδύσεων.</w:t>
      </w:r>
    </w:p>
    <w:p>
      <w:pPr>
        <w:pStyle w:val="PreambelText"/>
        <w:spacing w:before="240" w:after="240"/>
        <w:rPr>
          <w:lang w:val="el" w:eastAsia="el"/>
        </w:rPr>
      </w:pPr>
      <w:r>
        <w:rPr>
          <w:lang w:val="el" w:eastAsia="el"/>
        </w:rPr>
        <w:t>15. Το γεγονός ότι από τις διατάξεις της παρούσας απόφασης προκαλείται επιβάρυνση του κρατικού προϋπολογισμού, το ύψος της οποίας αναφέρεται στο άρθρο 3 ης παρούσας. Η προκαλούμενη δαπάνη θα αντιμετωπιστεί στο πλαίσιο των υφιστάμενων ορίων του Μεσοπρόθεσμου Πλαισίου Δημοσιονομικής Στρατηγικής (ΜΠΔΣ),</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Ποσό φορολογικής απαλλαγής</w:t>
      </w:r>
    </w:p>
    <w:p>
      <w:pPr>
        <w:spacing w:before="240" w:after="240"/>
        <w:rPr>
          <w:lang w:val="el" w:eastAsia="el"/>
        </w:rPr>
      </w:pPr>
      <w:r>
        <w:rPr>
          <w:lang w:val="el" w:eastAsia="el"/>
        </w:rPr>
        <w:t>Το συνολικό ποσό της φορολογικής απαλλαγής για το καθεστώς ενίσχυσης «Μεταποίηση - Εφοδιαστική Αλυσίδα» του ν. 4887/2022 (άρθρα 72 έως 77), που προκηρύσσεται το έτος 2022, καθορίζεται στα εκατόν είκοσι πέντε εκατομμύρια (125.000.000) ευρώ.</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Ποσό επιχορήγησης, επιδότησης χρηματοδοτικής μίσθωσης και επιδότησης του κόστους της δημιουργούμενης απασχόλησης</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για το καθεστώς ενίσχυσης «Μεταποίηση - Εφοδιαστική Αλυσίδα» του ν. 4887/2022 (άρθρα 72 έως 77), που προκηρύσσεται το έτος 2022, καθορίζεται στα εκατόν εβδομήντα πέντε εκατομμύρια, (175.000.000) ευρώ.</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Πηγές Χρηματοδότησης - Επιβάρυνση κρατικού προϋπολογισμού</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για τα επενδυτικά σχέδια της παρούσας απόφασης καλύπτονται από τον Προϋπολογισμό Δημοσίων Επενδύσεων, στον οποίο εγγράφεται η δαπάνη των εκατόν εβδομήντα πέντε εκατομμυρίων (175.000.000) ευρώ, και δύναται να προέλθουν από εθνικούς πόρους ή τα Ευρωπαϊκά Διαρθρωτικά και Επενδυτικά Ταμεία.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Από τις διατάξεις της παρούσας απόφασης εκτιμάται ότι:</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 Για τα έτη (2022, 2023, 2024) δεν θα προκύψει δαπάνη σε βάρος του Προϋπολογισμού Δημοσίων Επενδύσεων καθώς και απώλεια φορολογικών εσόδων,</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 για τα έτη (2025, 2026, 2027, 2028, 2029) θα προκύψει κατ’ έτος, δαπάνη τριάντα εκατομμυρίων (30.000.000) ευρώ σε βάρος του Προϋπολογισμού Δημοσίων Επενδύσεων και για τα έτη (2026, 2027, 2028, 2029) απώλεια φορολογικών εσόδων ύψους εβδομήντα εκατομμυρίων (70.000.000) ευρώ,</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iii. για το έτος (2030) θα προκύψει δαπάνη είκοσι πέντε εκατομμυρίων, (25.000.000) ευρώ σε βάρος του Προϋπολογισμού Δημοσίων Επενδύσεων,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iv. για τα έτη 2030 έως 2040 θα προκύψει απώλεια φορολογικών εσόδων ύψους πενήντα πέντε εκατομμυρίων (55.000.000) ευρώ.</w:t>
      </w:r>
      <w:r>
        <w:rPr>
          <w:rStyle w:val="Hyperlink"/>
          <w:color w:val="000000"/>
          <w:sz w:val="20"/>
          <w:szCs w:val="20"/>
          <w:u w:val="none" w:color="0000EE"/>
          <w:vertAlign w:val="superscript"/>
          <w:lang w:val="el" w:eastAsia="el"/>
        </w:rPr>
        <w:footnoteReference w:id="9"/>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 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29526/2024 11.04.2024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29526/2024 11.04.2024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29526/2024 11.04.2024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29526/2024 11.04.2024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29526/2024 11.04.2024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29526/2024 11.04.2024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29526/2024 11.04.2024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29526/2024 11.04.2024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29526/2024 11.04.2024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