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70757</w:t>
      </w:r>
      <w:r>
        <w:rPr>
          <w:b/>
          <w:bCs/>
          <w:lang w:val="el" w:eastAsia="el"/>
        </w:rPr>
        <w:t>Καθορισμός του ποσού, κατά είδος ενισχύσεων, για τα επενδυτικά σχέδια που υπάγονται στο καθεστώς ενισχύσεων «Μεταποίηση - Εφοδιαστική Αλυσίδα» του αναπτυξιακού ν. 4887/2022, του έτους 2022.</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ΟΙΚΟΝΟΜΙΚΩΝ -</w:t>
      </w:r>
    </w:p>
    <w:p>
      <w:pPr>
        <w:pStyle w:val="Title"/>
        <w:spacing w:before="120" w:after="36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(Α’16) και ειδικότερα την παρ. 3 του άρθρου 29, καθώς και τα άρθρα 72 έως 77, αυτού.</w:t>
      </w:r>
    </w:p>
    <w:p>
      <w:pPr>
        <w:pStyle w:val="PreambelText"/>
        <w:spacing w:before="240" w:after="240"/>
        <w:rPr>
          <w:lang w:val="el" w:eastAsia="el"/>
        </w:rPr>
      </w:pPr>
      <w:r>
        <w:rPr>
          <w:lang w:val="el" w:eastAsia="el"/>
        </w:rPr>
        <w:t>2. Τον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187/26.06.2014, σ. 1-178).</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(Α’143), όπως τροποποιήθηκε με το άρθρο 10 του ν. 4337/2015 (Α’129).</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διόρθωσης» (Α’133).</w:t>
      </w:r>
    </w:p>
    <w:p>
      <w:pPr>
        <w:pStyle w:val="PreambelText"/>
        <w:spacing w:before="240" w:after="240"/>
        <w:rPr>
          <w:lang w:val="el" w:eastAsia="el"/>
        </w:rPr>
      </w:pPr>
      <w:r>
        <w:rPr>
          <w:lang w:val="el" w:eastAsia="el"/>
        </w:rPr>
        <w:t>5. Το άρθρο 90 του Κώδικα Νομοθεσίας για την Κυβέρνηση και κυβερνητικά όργανα, (π.δ. 63/2005, Α’98) το οποίο διατηρήθηκεσε ισχύ με την παρ. 22 του άρθρου 119 του ν. 4622/2019 (Α’133).</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(Α’119).</w:t>
      </w:r>
    </w:p>
    <w:p>
      <w:pPr>
        <w:pStyle w:val="PreambelText"/>
        <w:spacing w:before="240" w:after="240"/>
        <w:rPr>
          <w:lang w:val="el" w:eastAsia="el"/>
        </w:rPr>
      </w:pPr>
      <w:r>
        <w:rPr>
          <w:lang w:val="el" w:eastAsia="el"/>
        </w:rPr>
        <w:t>7. Το π.δ. 5/2022 «Οργανισμός Υπουργείου Ανάπτυξης και Επενδύσεων» (Α’15).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9. Το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lang w:val="el" w:eastAsia="el"/>
        </w:rPr>
        <w:t>10. Το π.δ. 62/2020 «Διορισμός Αναπληρωτών Υπουργών και Υφυπουργών» (Α’155).</w:t>
      </w:r>
    </w:p>
    <w:p>
      <w:pPr>
        <w:pStyle w:val="PreambelText"/>
        <w:spacing w:before="240" w:after="240"/>
        <w:rPr>
          <w:lang w:val="el" w:eastAsia="el"/>
        </w:rPr>
      </w:pPr>
      <w:r>
        <w:rPr>
          <w:lang w:val="el" w:eastAsia="el"/>
        </w:rPr>
        <w:t>11.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12. Την υπό στοιχεία Υ 35/23.09.2021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13. Την υπ’ αρ. 51875/07.05.2021 κοινή απόφαση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14. Την υπ’ αρ. 34048/31.03.2022 (Ορθή επανάληψη 01.04.2022) εισήγηση της Γενικής Διεύθυνσης Οικονομικών Υπηρεσιών (παρ. 5 ε του άρθρου 24 του ν. 4270/2014) του Αναπληρωτή Προϊσταμένου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15. Το γεγονός ότι από τις διατάξεις της παρούσας απόφασης προκαλείται επιβάρυνση του κρατικού προϋπολογισμού, το ύψος της οποίας αναφέρεται στο άρθρο 3 ης παρούσας. Η προκαλούμενη δαπάνη θα αντιμετωπιστεί στο πλαίσιο των υφιστάμενων ορίων του Μεσοπρόθεσμου Πλαισίου Δημοσιονομικής Στρατηγικής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για το καθεστώς ενίσχυσης «Μεταποίηση - Εφοδιαστική Αλυσίδα» του ν. 4887/2022 (άρθρα 72 έως 77), που προκηρύσσεται το έτος 2022, καθορίζεται στα εβδομήντα πέντε εκατομμύρια (75.000.000,00)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για το καθεστώς ενίσχυσης «Μεταποίηση - Εφοδιαστική Αλυσίδα» του ν. 4887/2022 (άρθρα 72 έως 77), που προκηρύσσεται το έτος 2022, καθορίζεται στα εβδομήντα πέντε εκατομμύρια (75.000.000,00)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για τα επενδυτικά σχέδια της παρούσας απόφασης καλύπτονται από τον Προϋπολογισμό Δημοσίων Επενδύσεων, στον οποίο εγγράφεται η δαπάνη των εβδομήντα πέντε εκατομμυρίων (75.000.000,00)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(2022)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τo επόμενο έτος (2023) θα προκύψει δαπάνη είκοσι εκατομμυρίων (20.000.000) ευρώ σε βάρος του Προϋπολογισμού Δημοσίων Επενδύσεων και δεν θα προκύψει απώλεια φορολογικών εσόδων,</w:t>
      </w:r>
    </w:p>
    <w:p>
      <w:pPr>
        <w:spacing w:before="240" w:after="240"/>
        <w:rPr>
          <w:lang w:val="el" w:eastAsia="el"/>
        </w:rPr>
      </w:pPr>
      <w:r>
        <w:rPr>
          <w:lang w:val="el" w:eastAsia="el"/>
        </w:rPr>
        <w:t>iii. για τα επόμενα τρία έτη (2024, 2025, 2026) θα προκύψει δαπάνη πενήντα πέντε εκατομμυρίων (55.000.000) ευρώ σε βάρος του Προϋπολογισμού Δημοσίων Επενδύσεων. Για τα έτη αυτά θα προκύψει απώλεια φορολογικών εσόδων ύψους σαράντα πέντε εκατομμυρίων (45.000.000) ευρώ,</w:t>
      </w:r>
    </w:p>
    <w:p>
      <w:pPr>
        <w:spacing w:before="240" w:after="240"/>
        <w:rPr>
          <w:lang w:val="el" w:eastAsia="el"/>
        </w:rPr>
      </w:pPr>
      <w:r>
        <w:rPr>
          <w:lang w:val="el" w:eastAsia="el"/>
        </w:rPr>
        <w:t>iv. Για τα έτη 2027 έως 2040 θα προκύψει απώλεια φορολογικών εσόδων ύψους τριάντα εκατομμυρίων (30.000.000) ευρώ.</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Αναπληρωτής Υπουργός Οικονομικών Ανάπτυξης και Επενδύσεων</w:t>
      </w:r>
    </w:p>
    <w:p>
      <w:pPr>
        <w:spacing w:before="240" w:after="240"/>
        <w:rPr>
          <w:lang w:val="el" w:eastAsia="el"/>
        </w:rPr>
      </w:pPr>
      <w:r>
        <w:rPr>
          <w:b/>
          <w:bCs/>
          <w:lang w:val="el" w:eastAsia="el"/>
        </w:rPr>
        <w:t>ΘΕΟΔΩΡΟΣ ΣΚΥΛΑΚΑΚΗΣ ΝΙΚΟΛΑΟΣ ΠΑΠΑΘΑΝΑΣΗΣ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