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 ΚΑΙ</w:t>
      </w:r>
    </w:p>
    <w:p>
      <w:pPr>
        <w:pStyle w:val="PreambelText"/>
        <w:spacing w:before="240" w:after="240"/>
        <w:rPr>
          <w:lang w:val="el" w:eastAsia="el"/>
        </w:rPr>
      </w:pPr>
      <w:r>
        <w:rPr>
          <w:b/>
          <w:bCs/>
          <w:lang w:val="el" w:eastAsia="el"/>
        </w:rPr>
        <w:t>ΕΠΙΣΤΡΟΦΩΝ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2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210-3635007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deispraxeon@aade.gr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Β. ΓΕΝΙΚΗ ΔΙΕΥΘΥΝΣΗ ΤΕΛΩΝΕΙΩΝ &amp; Ε.Φ.Κ. ΔΙΕΥΘΥΝΣΗ ΤΕΛΩΝΕΙΑΚΩΝ ΔΙΑΔΙΚΑΣΙΩΝ ΤΜΗΜΑ Δ'</w:t>
      </w:r>
    </w:p>
    <w:p>
      <w:pPr>
        <w:spacing w:before="240" w:after="240"/>
        <w:rPr>
          <w:lang w:val="el" w:eastAsia="el"/>
        </w:rPr>
      </w:pPr>
      <w:r>
        <w:rPr>
          <w:b/>
          <w:bCs/>
          <w:lang w:val="el" w:eastAsia="el"/>
        </w:rPr>
        <w:t>Κηφισίας 124</w:t>
      </w:r>
    </w:p>
    <w:p>
      <w:pPr>
        <w:spacing w:before="240" w:after="240"/>
        <w:rPr>
          <w:lang w:val="el" w:eastAsia="el"/>
        </w:rPr>
      </w:pPr>
      <w:r>
        <w:rPr>
          <w:b/>
          <w:bCs/>
          <w:lang w:val="el" w:eastAsia="el"/>
        </w:rPr>
        <w:t>115 26</w:t>
      </w:r>
    </w:p>
    <w:p>
      <w:pPr>
        <w:spacing w:before="240" w:after="240"/>
        <w:rPr>
          <w:lang w:val="el" w:eastAsia="el"/>
        </w:rPr>
      </w:pPr>
      <w:r>
        <w:rPr>
          <w:b/>
          <w:bCs/>
          <w:lang w:val="el" w:eastAsia="el"/>
        </w:rPr>
        <w:t>2132112912, 905</w:t>
      </w:r>
    </w:p>
    <w:p>
      <w:pPr>
        <w:spacing w:before="240" w:after="240"/>
        <w:rPr>
          <w:lang w:val="el" w:eastAsia="el"/>
        </w:rPr>
      </w:pP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«Ανακαθορισμός του χρόνου επικαιροποίησης των δημοσιοποιημένων καταστάσεων ληξιπρόθεσμων οφειλών για τα έτη 2020, 2021, 2022 και 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ΟΙΚΟΝΟΜΙΚΩΝ ΚΑΙ ΕΡΓΑΣΙΑΣ ΚΑΙ ΚΟΙΝΩΝΙΚΩΝ ΥΠΟΘΕΣΕΩΝ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1, 2 και 4 του άρθρου 9 του ν.3943/2011 «Καταπολέμηση της φοροδιαφυγής, στελέχωση των ελεγκτικών υπηρεσιών και άλλες διατάξεις αρμοδιότητας Υπουργείου Οικονομικών» (Α΄ 66), όπως ισχύουν μετά την αντικατάστασή τους με το άρθρο 42 του ν.4410/2016 (Α΄ 141),</w:t>
      </w:r>
    </w:p>
    <w:p>
      <w:pPr>
        <w:pStyle w:val="StructureList1"/>
        <w:spacing w:before="120" w:after="0"/>
        <w:rPr>
          <w:lang w:val="el" w:eastAsia="el"/>
        </w:rPr>
      </w:pPr>
      <w:r>
        <w:rPr>
          <w:lang w:val="el" w:eastAsia="el"/>
        </w:rPr>
        <w:t>β)</w:t>
      </w:r>
      <w:r>
        <w:rPr>
          <w:lang w:val="en" w:eastAsia="en"/>
        </w:rPr>
        <w:tab/>
      </w:r>
      <w:r>
        <w:rPr>
          <w:b/>
          <w:bCs/>
          <w:lang w:val="el" w:eastAsia="el"/>
        </w:rPr>
        <w:t>της περ. iγ) της υποπαρ. 2.3 της παρ. Γ του άρθρου 3 του ν.4336/2015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των παρ. 1, 5 και 6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ν. 4174/2013 «Φορολογικές διαδικασίες και άλλες διατάξεις» (Α’ 170),</w:t>
      </w:r>
    </w:p>
    <w:p>
      <w:pPr>
        <w:pStyle w:val="StructureList1"/>
        <w:spacing w:before="120" w:after="0"/>
        <w:rPr>
          <w:lang w:val="el" w:eastAsia="el"/>
        </w:rPr>
      </w:pPr>
      <w:r>
        <w:rPr>
          <w:lang w:val="el" w:eastAsia="el"/>
        </w:rPr>
        <w:t>ε)</w:t>
      </w:r>
      <w:r>
        <w:rPr>
          <w:lang w:val="en" w:eastAsia="en"/>
        </w:rPr>
        <w:tab/>
      </w:r>
      <w:r>
        <w:rPr>
          <w:b/>
          <w:bCs/>
          <w:lang w:val="el" w:eastAsia="el"/>
        </w:rPr>
        <w:t>του ν.δ. 356/1974 «Κώδικας Είσπραξης Δημοσίων Εσόδων» (Α΄ 90),</w:t>
      </w:r>
    </w:p>
    <w:p>
      <w:pPr>
        <w:pStyle w:val="StructureList1"/>
        <w:spacing w:before="120" w:after="0"/>
        <w:rPr>
          <w:lang w:val="el" w:eastAsia="el"/>
        </w:rPr>
      </w:pPr>
      <w:r>
        <w:rPr>
          <w:lang w:val="el" w:eastAsia="el"/>
        </w:rPr>
        <w:t>στ)</w:t>
      </w:r>
      <w:r>
        <w:rPr>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StructureList1"/>
        <w:spacing w:before="120" w:after="0"/>
        <w:rPr>
          <w:lang w:val="el" w:eastAsia="el"/>
        </w:rPr>
      </w:pPr>
      <w:r>
        <w:rPr>
          <w:lang w:val="el" w:eastAsia="el"/>
        </w:rPr>
        <w:t>ζ)</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η)</w:t>
      </w:r>
      <w:r>
        <w:rPr>
          <w:lang w:val="en" w:eastAsia="en"/>
        </w:rPr>
        <w:tab/>
      </w:r>
      <w:r>
        <w:rPr>
          <w:b/>
          <w:bCs/>
          <w:lang w:val="el" w:eastAsia="el"/>
        </w:rPr>
        <w:t>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w:t>
      </w:r>
    </w:p>
    <w:p>
      <w:pPr>
        <w:pStyle w:val="StructureList1"/>
        <w:spacing w:before="120" w:after="0"/>
        <w:rPr>
          <w:lang w:val="el" w:eastAsia="el"/>
        </w:rPr>
      </w:pPr>
      <w:r>
        <w:rPr>
          <w:lang w:val="el" w:eastAsia="el"/>
        </w:rPr>
        <w:t>θ)</w:t>
      </w:r>
      <w:r>
        <w:rPr>
          <w:lang w:val="en" w:eastAsia="en"/>
        </w:rPr>
        <w:tab/>
      </w:r>
      <w:r>
        <w:rPr>
          <w:b/>
          <w:bCs/>
          <w:lang w:val="el" w:eastAsia="el"/>
        </w:rPr>
        <w:t>του ν. 4670/2020 «Ασφαλιστική μεταρρύθμιση και ψηφιακός μετασχηματισμός Εθνικού Φορέα Κοινωνικής Ασφάλισης (e-Ε.Φ.Κ.Α.) και άλλες διατάξεις» (Α΄ 43),</w:t>
      </w:r>
    </w:p>
    <w:p>
      <w:pPr>
        <w:pStyle w:val="StructureList1"/>
        <w:spacing w:before="120" w:after="0"/>
        <w:rPr>
          <w:lang w:val="el" w:eastAsia="el"/>
        </w:rPr>
      </w:pPr>
      <w:r>
        <w:rPr>
          <w:lang w:val="el" w:eastAsia="el"/>
        </w:rPr>
        <w:t>ι)</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b/>
          <w:bCs/>
          <w:lang w:val="el" w:eastAsia="el"/>
        </w:rPr>
        <w:t>του π.δ. 134/2017 «Οργανισμός του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ιβ)</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ιγ)</w:t>
      </w:r>
      <w:r>
        <w:rPr>
          <w:lang w:val="en" w:eastAsia="en"/>
        </w:rPr>
        <w:tab/>
      </w:r>
      <w:r>
        <w:rPr>
          <w:b/>
          <w:bCs/>
          <w:lang w:val="el" w:eastAsia="el"/>
        </w:rPr>
        <w:t>του π.δ. 83/2019 «Διορισμός Αντιπροέδρου της Κυβέρνησης, Υπουργών, Αναπληρωτών Υπουργών και Υφυπουργών» (Α΄ 121 και 126),</w:t>
      </w:r>
    </w:p>
    <w:p>
      <w:pPr>
        <w:pStyle w:val="StructureList1"/>
        <w:spacing w:before="120" w:after="0"/>
        <w:rPr>
          <w:lang w:val="el" w:eastAsia="el"/>
        </w:rPr>
      </w:pPr>
      <w:r>
        <w:rPr>
          <w:lang w:val="el" w:eastAsia="el"/>
        </w:rPr>
        <w:t>ιδ)</w:t>
      </w:r>
      <w:r>
        <w:rPr>
          <w:lang w:val="en" w:eastAsia="en"/>
        </w:rPr>
        <w:tab/>
      </w:r>
      <w:r>
        <w:rPr>
          <w:b/>
          <w:bCs/>
          <w:lang w:val="el" w:eastAsia="el"/>
        </w:rPr>
        <w:t>του π.δ. 84/2019 «Σύσταση και κατάργηση Γενικών Γραμματειών και Ειδικών Γραμματειών/Ενιαίων Διοικητικών Τομέων Υπουργείων» (Α΄123),</w:t>
      </w:r>
    </w:p>
    <w:p>
      <w:pPr>
        <w:pStyle w:val="StructureList1"/>
        <w:spacing w:before="120" w:after="0"/>
        <w:rPr>
          <w:lang w:val="el" w:eastAsia="el"/>
        </w:rPr>
      </w:pPr>
      <w:r>
        <w:rPr>
          <w:lang w:val="el" w:eastAsia="el"/>
        </w:rPr>
        <w:t>ιστ)</w:t>
      </w:r>
      <w:r>
        <w:rPr>
          <w:lang w:val="en" w:eastAsia="en"/>
        </w:rPr>
        <w:tab/>
      </w:r>
      <w:r>
        <w:rPr>
          <w:b/>
          <w:bCs/>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ιε)</w:t>
      </w:r>
      <w:r>
        <w:rPr>
          <w:lang w:val="en" w:eastAsia="en"/>
        </w:rPr>
        <w:tab/>
      </w:r>
      <w:r>
        <w:rPr>
          <w:b/>
          <w:bCs/>
          <w:lang w:val="el" w:eastAsia="el"/>
        </w:rPr>
        <w:t>της υπό στοιχεία Δ. ΟΡΓ. Α 1125859 ΕΞ2020/23.10.2020 (Β’ 4738)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 xml:space="preserve">2. </w:t>
      </w:r>
      <w:r>
        <w:rPr>
          <w:b/>
          <w:bCs/>
          <w:lang w:val="el" w:eastAsia="el"/>
        </w:rPr>
        <w:t>Την υπό στοιχεία ΠΟΛ. 1158/2017 κοινή απόφαση των Υφυπουργών Εργασίας Κοινωνικής Ασφάλισης και Κοινωνικής Αλληλεγγύης και Οικονομικών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 (Β΄ 3634), όπως ισχύει μετά την τροποποίησή της με την υπό στοιχεία Α.1158/2020 «Ανακαθορισμός του χρόνου επικαιροποίησης των δημοσιοποιούμενων καταστάσεων ληξιπρόθεσμων οφειλών για το έτος 2020» (Β΄ 2745 και 3277 διόρθωση σφάλματος) κοινή απόφαση του Υφυπουργού Οικονομικών και του Υπουργού Εργασίας και Κοινωνικών Υποθέσεων, την υπό στοιχεία Α.1237/2020 «Ανακαθορισμός του χρόνου επικαιροποίησης των δημοσιοποιούμενων καταστάσεων ληξιπρόθεσμων οφειλών για το έτος 2020» (Β΄ 4795) κοινή απόφαση του Υφυπουργού Οικονομικών και του Υπουργού Εργασίας και Κοινωνικών Υποθέσεων, την υπό στοιχεία Α.1141/2021 «Ανακαθορισμός του χρόνου επικαιροποίησης των δημοσιοποιούμενων καταστάσεων ληξιπρόθεσμων οφειλών για τα έτη 2020 και 2021» (Β΄ 2751) κοινή απόφαση του Υφυπουργού Οικονομικών και του Υπουργού Εργασίας και Κοινωνικών Υποθέσεων και την υπό στοιχεία Α.1010/2022 «Ανακαθορισμός του χρόνου επικαιροποίησης των δημοσιοποιημένων καταστάσεων ληξιπρόθεσμων οφειλών για τα έτη 2020, 2021 και 2022» (Β΄ 304) κοινή απόφαση των Υφυπουργών Οικονομικών και Εργασίας και Κοινωνικών Υποθέσεων.</w:t>
      </w:r>
    </w:p>
    <w:p>
      <w:pPr>
        <w:spacing w:before="240" w:after="240"/>
        <w:rPr>
          <w:lang w:val="el" w:eastAsia="el"/>
        </w:rPr>
      </w:pPr>
      <w:r>
        <w:rPr>
          <w:lang w:val="el" w:eastAsia="el"/>
        </w:rPr>
        <w:t xml:space="preserve">3.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4. </w:t>
      </w:r>
      <w:r>
        <w:rPr>
          <w:b/>
          <w:bCs/>
          <w:lang w:val="el" w:eastAsia="el"/>
        </w:rPr>
        <w:t>Την υπό στοιχεία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5. </w:t>
      </w:r>
      <w:r>
        <w:rPr>
          <w:b/>
          <w:bCs/>
          <w:lang w:val="el" w:eastAsia="el"/>
        </w:rPr>
        <w:t>Την υπό στοιχεία 71672/2.9.2021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4443).</w:t>
      </w:r>
    </w:p>
    <w:p>
      <w:pPr>
        <w:spacing w:before="240" w:after="240"/>
        <w:rPr>
          <w:lang w:val="el" w:eastAsia="el"/>
        </w:rPr>
      </w:pPr>
      <w:r>
        <w:rPr>
          <w:lang w:val="el" w:eastAsia="el"/>
        </w:rPr>
        <w:t xml:space="preserve">6.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Την ανάγκη νέας μεταβολής της ημερομηνίας επικαιροποίησης των καταστάσεων των δημοσιοποιούμενων οφειλών.</w:t>
      </w:r>
    </w:p>
    <w:p>
      <w:pPr>
        <w:spacing w:before="240" w:after="240"/>
        <w:rPr>
          <w:lang w:val="el" w:eastAsia="el"/>
        </w:rPr>
      </w:pPr>
      <w:r>
        <w:rPr>
          <w:lang w:val="el" w:eastAsia="el"/>
        </w:rPr>
        <w:t xml:space="preserve">8. </w:t>
      </w:r>
      <w:r>
        <w:rPr>
          <w:b/>
          <w:bCs/>
          <w:lang w:val="el" w:eastAsia="el"/>
        </w:rPr>
        <w:t>Το γεγονός ότι από την απόφαση αυτή δεν προκαλείται δαπάνη σε βάρος του κρατικού προϋπολογισμού καθώς και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τελευταίο εδάφιο της παρ. 2 του άρθρου 3 της υπό στοιχεία ΠΟΛ. 1158/2017 (Β΄ 3634) κοινής απόφασης των Υφυπουργών Εργασίας, Κοινωνικής Ασφάλισης και Κοινωνικής Αλληλεγγύης και Οικονομικών, όπως προστέθηκε με την υπό στοιχεία Α.1158/2020 (Β΄ 2745 &amp; 3277) κοινή απόφαση του Υφυπουργού Οικονομικών και του Υπουργού Εργασίας και Κοινωνικών Υποθέσεων, αντικαταστάθηκε με τις υπό στοιχεία Α.1237/2020 (Β΄ 4795) και Α.1141/2021 (Β΄ 2751) κοινές αποφάσεις του Υφυπουργού Οικονομικών και του Υπουργού Εργασίας και Κοινωνικών Υποθέσεων και την Α.1010/2022 (Β΄ 304) κοινή απόφαση των Υφυπουργών Οικονομικών και Εργασίας και Κοινωνικών Υποθέσεων, αντικαθίσταται ως εξής: «Εξαιρετικά, για τα ημερολογιακά έτη 2020, 2021, 2022 και 2023, οι καταστάσεις που έχουν δημοσιοποιηθεί, επικαιροποιούνται μέχρι την 30ή Ιουνίου 2023».</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να δημοσιευτεί στην Εφημερίδα της Κυβερνήσεως.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Ο ΥΦΥΠΟΥΡΓΟΣ ΕΡΓΑΣΙΑΣ</w:t>
      </w:r>
    </w:p>
    <w:p>
      <w:pPr>
        <w:spacing w:before="240" w:after="240"/>
        <w:rPr>
          <w:lang w:val="el" w:eastAsia="el"/>
        </w:rPr>
      </w:pPr>
      <w:r>
        <w:rPr>
          <w:b/>
          <w:bCs/>
          <w:lang w:val="el" w:eastAsia="el"/>
        </w:rPr>
        <w:t>ΚΑΙ ΚΟΙΝΩΝΙΚΩΝ ΥΠΟΘΕΣΕΩΝ</w:t>
      </w:r>
    </w:p>
    <w:p>
      <w:pPr>
        <w:spacing w:before="240" w:after="240"/>
        <w:rPr>
          <w:lang w:val="el" w:eastAsia="el"/>
        </w:rPr>
      </w:pPr>
      <w:r>
        <w:rPr>
          <w:b/>
          <w:bCs/>
          <w:lang w:val="el" w:eastAsia="el"/>
        </w:rPr>
        <w:t>ΠΑΝΑΓΙΩΤΗΣ ΤΣΑΚΛΟΓΛΟΥ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Κέντρο Είσπραξης Ασφαλιστικών Οφειλών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Υπουργού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Δ΄, Ι΄ (πλην των αποδεκτών προς ενέργεια)</w:t>
      </w:r>
    </w:p>
    <w:p>
      <w:pPr>
        <w:spacing w:before="240" w:after="240"/>
        <w:rPr>
          <w:lang w:val="el" w:eastAsia="el"/>
        </w:rPr>
      </w:pPr>
      <w:r>
        <w:rPr>
          <w:b/>
          <w:bCs/>
          <w:lang w:val="el" w:eastAsia="el"/>
        </w:rPr>
        <w:t>Αυτοτελές Γραφείο Τύπου και Δημοσίων Σχέσεων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Γενική Διεύθυνση Τελωνείων και Ειδικών Φόρων Κατανάλωσης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Τελωνειακών Διαδικασιών</w:t>
      </w:r>
    </w:p>
    <w:p>
      <w:pPr>
        <w:pStyle w:val="MainText"/>
        <w:spacing w:before="120" w:after="0"/>
        <w:rPr>
          <w:lang w:val="el" w:eastAsia="el"/>
        </w:rPr>
      </w:pPr>
      <w:r>
        <w:rPr>
          <w:b/>
          <w:bCs/>
          <w:lang w:val="el" w:eastAsia="el"/>
        </w:rPr>
        <w:t>7.</w:t>
      </w:r>
      <w:r>
        <w:rPr>
          <w:lang w:val="el" w:eastAsia="el"/>
        </w:rPr>
        <w:t xml:space="preserve">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Φορολογικής Διοίκησης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Εισπράξεων και Επιστροφών– Τμήματα Α-Ε,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