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107602 ΕΞ 2022</w:t>
      </w:r>
    </w:p>
    <w:p>
      <w:pPr>
        <w:pStyle w:val="Title"/>
        <w:spacing w:before="120" w:after="360"/>
        <w:rPr>
          <w:lang w:val="el" w:eastAsia="el"/>
        </w:rPr>
      </w:pPr>
      <w:r>
        <w:rPr>
          <w:lang w:val="el" w:eastAsia="el"/>
        </w:rPr>
        <w:t>Εκδήλωση ενδιαφέροντος για τη χορήγηση ενίσχυσης με τη μορφή επιχορήγησης σε επιχειρήσεις επεξεργασίας ελαιοκάρπου που επλήγησαν οικονομικά λόγω της εμφάνισης και διάδοσης της νόσου του κορωνοϊού COVID-19 κατά το έτος 2021, και υπέστησαν μεγάλες οικονομικές απώλειες που επιτάθηκαν από τις πυρκαγιές που έπληξαν περιοχές της χώρας το καλοκαίρι του 2021</w:t>
      </w:r>
    </w:p>
    <w:p>
      <w:pPr>
        <w:pStyle w:val="Title"/>
        <w:spacing w:before="120" w:after="360"/>
        <w:rPr>
          <w:lang w:val="el" w:eastAsia="el"/>
        </w:rPr>
      </w:pPr>
      <w:r>
        <w:rPr>
          <w:b/>
          <w:bCs/>
          <w:lang w:val="el" w:eastAsia="el"/>
        </w:rPr>
        <w:t>Αριθμ. 107602 ΕΞ 2022</w:t>
      </w:r>
    </w:p>
    <w:p>
      <w:pPr>
        <w:pStyle w:val="PreambelText"/>
        <w:spacing w:before="240" w:after="240"/>
        <w:rPr>
          <w:lang w:val="el" w:eastAsia="el"/>
        </w:rPr>
      </w:pPr>
      <w:r>
        <w:rPr>
          <w:lang w:val="el" w:eastAsia="el"/>
        </w:rPr>
        <w:t>(ΦΕΚ Β' 3986/27-07-2022)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 1) και ιδίως το άρθρο 3 αυτού.</w:t>
      </w:r>
    </w:p>
    <w:p>
      <w:pPr>
        <w:pStyle w:val="PreambelText"/>
        <w:spacing w:before="240" w:after="240"/>
        <w:rPr>
          <w:lang w:val="el" w:eastAsia="el"/>
        </w:rPr>
      </w:pPr>
      <w:r>
        <w:rPr>
          <w:lang w:val="el" w:eastAsia="el"/>
        </w:rPr>
        <w:t>4.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Τις διατάξεις του ν.δ. 356/1974 Κ.Ε.Δ.Ε. (Α' 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16. Ίην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Δ.Α.Ε.Φ.Κ.-Κ.Ε/13758/Α325/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pStyle w:val="PreambelText"/>
        <w:spacing w:before="240" w:after="240"/>
        <w:rPr>
          <w:lang w:val="el" w:eastAsia="el"/>
        </w:rPr>
      </w:pPr>
      <w:r>
        <w:rPr>
          <w:lang w:val="el" w:eastAsia="el"/>
        </w:rPr>
        <w:t>21. Την υπό στοιχεία Δ.Α.Ε.Φ.Κ.-Κ.Ε/13975/Α325/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22. Την υπό στοιχεία Δ.Α.Ε.Φ.Κ.-Κ.Ε/13665/Α325/ 17.08.2021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pStyle w:val="PreambelText"/>
        <w:spacing w:before="240" w:after="240"/>
        <w:rPr>
          <w:lang w:val="el" w:eastAsia="el"/>
        </w:rPr>
      </w:pPr>
      <w:r>
        <w:rPr>
          <w:lang w:val="el" w:eastAsia="el"/>
        </w:rPr>
        <w:t>23. Την υπό στοιχεία Δ.Α.Ε.Φ.Κ.-Κ.Ε/11203/Α325/09.07.2021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την πυρκαγιά της 20ης Μαΐου 2021 σε περιοχές των Περιφερειακών Ενοτήτων Κορινθίας της Περιφέρειας Πελοποννήσου και Δυτικής Αττικής της Περιφέρειας Αττικής» (Β' 3077).</w:t>
      </w:r>
    </w:p>
    <w:p>
      <w:pPr>
        <w:pStyle w:val="PreambelText"/>
        <w:spacing w:before="240" w:after="240"/>
        <w:rPr>
          <w:lang w:val="el" w:eastAsia="el"/>
        </w:rPr>
      </w:pPr>
      <w:r>
        <w:rPr>
          <w:lang w:val="el" w:eastAsia="el"/>
        </w:rPr>
        <w:t>24.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26.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α) τις πυρκαγιές αα) της 28ης Ιουλίου 2021 σε περιοχές της Περιφερειακής Ενότητας Αχαΐας της Περιφέρειας Δυτικής Ελλάδας και ββ)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τις πυρκαγιές αα) της 3ης Αυγούστου 2021 σε περιοχές της Περιφερειακής Ενότητας Ευβοίας της Περιφέρειας Στερεάς Ελλάδας, ββ) της 5ης Αυγούστου 2021 σε περιοχές της Περιφερειακής Ενότητας Φωκίδας της Περιφέρειας Στερεάς Ελλάδας και γγ) της 6ης Αυγούστου 2021 σε περιοχές της Περιφερειακής Ενότητας Φθιώτιδας της Περιφέρειας Στερεάς Ελλάδας, γ) τις πυρκαγιές αα) της 26ης και 31ης Ιουλίου 2021 σε περιοχές της Περιφερειακής Ενότητας Αχαΐας της Περιφέρειας Δυτικής Ελλάδας και ββ) της 27ης Ιουλίου 2021 σε περιοχές της Περιφερειακής Ενότητας Ανατολικής Αττικής της Περιφέρειας Αττικής και γγ) της 3ης Αυγούστου 2021 σε περιοχές των Περιφερειακών Ενοτήτων Βορείου Τομέα Αθηνών και Ανατολικής Αττικής της Περιφέρειας Αττικής και δ) τις πυρκαγιές της 20ης Μαΐου 2021 σε περιοχές των Περιφερειακών Ενοτήτων Κορινθίας της Περιφέρειας Πελοποννήσου και Δυτικής Αττικής της Περιφέρειας Αττικής, 20ης Μαΐου 2021 σε περιοχές των Περιφερειακών Ενοτήτων Κορινθίας της Περιφέρειας Πελοποννήσου και Δυτικής Αττικής της Περιφέρειας Αττικής.</w:t>
      </w:r>
    </w:p>
    <w:p>
      <w:pPr>
        <w:pStyle w:val="PreambelText"/>
        <w:spacing w:before="240" w:after="240"/>
        <w:rPr>
          <w:lang w:val="el" w:eastAsia="el"/>
        </w:rPr>
      </w:pPr>
      <w:r>
        <w:rPr>
          <w:lang w:val="el" w:eastAsia="el"/>
        </w:rPr>
        <w:t>27. Την από 26.07.2022 εισήγηση του Διοικητή της Ανεξάρτητης Αρχής Δημοσίων Εσόδων.</w:t>
      </w:r>
    </w:p>
    <w:p>
      <w:pPr>
        <w:pStyle w:val="PreambelText"/>
        <w:spacing w:before="240" w:after="240"/>
        <w:rPr>
          <w:lang w:val="el" w:eastAsia="el"/>
        </w:rPr>
      </w:pPr>
      <w:r>
        <w:rPr>
          <w:lang w:val="el" w:eastAsia="el"/>
        </w:rPr>
        <w:t>28. Την από 29.03.2022 εισήγηση της Κυβερνητικής Επιτροπής Κρατικής Αρωγής.</w:t>
      </w:r>
    </w:p>
    <w:p>
      <w:pPr>
        <w:pStyle w:val="PreambelText"/>
        <w:spacing w:before="240" w:after="240"/>
        <w:rPr>
          <w:lang w:val="el" w:eastAsia="el"/>
        </w:rPr>
      </w:pPr>
      <w:r>
        <w:rPr>
          <w:lang w:val="el" w:eastAsia="el"/>
        </w:rPr>
        <w:t>29. Το από 21.07.2022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30. Το από 21.7.2022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31. Την υπό στοιχεία 2/138501/ΔΠΓΚ/20.07.2022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32.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και έχουν υποστεί μεγάλες οικονομικές απώλειες οι οποίες επιτάθηκαν από</w:t>
      </w:r>
    </w:p>
    <w:p>
      <w:pPr>
        <w:pStyle w:val="StructureList1"/>
        <w:spacing w:before="120" w:after="0"/>
        <w:rPr>
          <w:lang w:val="el" w:eastAsia="el"/>
        </w:rPr>
      </w:pPr>
      <w:r>
        <w:rPr>
          <w:lang w:val="el" w:eastAsia="el"/>
        </w:rPr>
        <w:t>α)</w:t>
      </w:r>
      <w:r>
        <w:rPr>
          <w:lang w:val="en" w:eastAsia="en"/>
        </w:rPr>
        <w:tab/>
      </w:r>
      <w:r>
        <w:rPr>
          <w:lang w:val="el" w:eastAsia="el"/>
        </w:rPr>
        <w:t>τις πυρκαγιές αα) της 28ης Ιουλίου 2021 σε περιοχές της Περιφερειακής Ενότητας Αχαΐας της Περιφέρειας Δυτικής Ελλάδας και ββ)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w:t>
      </w:r>
    </w:p>
    <w:p>
      <w:pPr>
        <w:pStyle w:val="StructureList1"/>
        <w:spacing w:before="120" w:after="0"/>
        <w:rPr>
          <w:lang w:val="el" w:eastAsia="el"/>
        </w:rPr>
      </w:pPr>
      <w:r>
        <w:rPr>
          <w:lang w:val="el" w:eastAsia="el"/>
        </w:rPr>
        <w:t>β)</w:t>
      </w:r>
      <w:r>
        <w:rPr>
          <w:lang w:val="en" w:eastAsia="en"/>
        </w:rPr>
        <w:tab/>
      </w:r>
      <w:r>
        <w:rPr>
          <w:lang w:val="el" w:eastAsia="el"/>
        </w:rPr>
        <w:t>τις πυρκαγιές αα) της 3ης Αυγούστου 2021 σε περιοχές της Περιφερειακής Ενότητας Ευβοίας της Περιφέρειας Στερεάς Ελλάδας, ββ) της 5ης Αυγούστου 2021 σε περιοχές της Περιφερειακής Ενότητας Φωκίδας της Περιφέρειας Στερεάς Ελλάδας και γγ) της 6ης Αυγούστου 2021 σε περιοχές της Περιφερειακής Ενότητας Φθιώτιδας της Περιφέρειας Στερεάς Ελλάδας,</w:t>
      </w:r>
    </w:p>
    <w:p>
      <w:pPr>
        <w:pStyle w:val="StructureList1"/>
        <w:spacing w:before="120" w:after="0"/>
        <w:rPr>
          <w:lang w:val="el" w:eastAsia="el"/>
        </w:rPr>
      </w:pPr>
      <w:r>
        <w:rPr>
          <w:lang w:val="el" w:eastAsia="el"/>
        </w:rPr>
        <w:t>γ)</w:t>
      </w:r>
      <w:r>
        <w:rPr>
          <w:lang w:val="en" w:eastAsia="en"/>
        </w:rPr>
        <w:tab/>
      </w:r>
      <w:r>
        <w:rPr>
          <w:lang w:val="el" w:eastAsia="el"/>
        </w:rPr>
        <w:t>τις πυρκαγιές αα) της 26ης και 31ης Ιουλίου 2021 σε περιοχές της Περιφερειακής Ενότητας Αχαΐας της Περιφέρειας Δυτικής Ελλάδας και ββ) της 27ης Ιουλίου 2021 σε περιοχές της Περιφερειακής Ενότητας Ανατολικής Αττικής της Περιφέρειας Αττικής και γγ) της 3ης Αυγού-στου 2021 σε περιοχές των Περιφερειακών Ενοτήτων Βορείου Τομέα Αθηνών και Ανατολικής Αττικής της Περιφέρειας Αττικής,</w:t>
      </w:r>
    </w:p>
    <w:p>
      <w:pPr>
        <w:pStyle w:val="StructureList1"/>
        <w:spacing w:before="120" w:after="0"/>
        <w:rPr>
          <w:lang w:val="el" w:eastAsia="el"/>
        </w:rPr>
      </w:pPr>
      <w:r>
        <w:rPr>
          <w:lang w:val="el" w:eastAsia="el"/>
        </w:rPr>
        <w:t>δ)</w:t>
      </w:r>
      <w:r>
        <w:rPr>
          <w:lang w:val="en" w:eastAsia="en"/>
        </w:rPr>
        <w:tab/>
      </w:r>
      <w:r>
        <w:rPr>
          <w:lang w:val="el" w:eastAsia="el"/>
        </w:rPr>
        <w:t>τις πυρκαγιές της 20ης Μαΐου 2021 σε περιοχές των Περιφερειακών Ενοτήτων Κορινθίας της Περιφέρειας Πελοποννήσου και Δυτικής Αττικής της Περιφέρειας Αττικής, υποβάλλεται εκδήλωση ενδιαφέροντος.</w:t>
      </w:r>
    </w:p>
    <w:p>
      <w:pPr>
        <w:pStyle w:val="MainText"/>
        <w:spacing w:before="120" w:after="0"/>
        <w:rPr>
          <w:lang w:val="el" w:eastAsia="el"/>
        </w:rPr>
      </w:pPr>
      <w:r>
        <w:rPr>
          <w:b/>
          <w:bCs/>
          <w:lang w:val="el" w:eastAsia="el"/>
        </w:rPr>
        <w:t>2.</w:t>
      </w:r>
      <w:r>
        <w:rPr>
          <w:lang w:val="el" w:eastAsia="el"/>
        </w:rPr>
        <w:t xml:space="preserve"> Εκδήλωση ενδιαφέροντος δύναται να υποβάλουν ιδιωτικές επιχειρήσεις κάθε νομικής μορφής, συμπεριλαμβανομένων των ατομικών, οι οποίες είναι υποκείμενες σε ΦΠΑ κατά την 31η Δεκεμβρίου 2021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Ιουλίου 2021, οι οποίες πληρούν σωρευτικά τα κριτήρια της επόμενης παραγράφου, καθώς και την προϋπόθεση της παραγράφου 4.</w:t>
      </w:r>
    </w:p>
    <w:p>
      <w:pPr>
        <w:pStyle w:val="MainText"/>
        <w:spacing w:before="120" w:after="0"/>
        <w:rPr>
          <w:lang w:val="el" w:eastAsia="el"/>
        </w:rPr>
      </w:pPr>
      <w:r>
        <w:rPr>
          <w:b/>
          <w:bCs/>
          <w:lang w:val="el" w:eastAsia="el"/>
        </w:rPr>
        <w:t>3.</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σε περιοχές που έχουν πληγεί από τις πυρκαγιές του καλοκαιριού του 2021, όπως αυτές έχουν οριοθετηθεί με τις υπό στοιχεία Δ.Α.Ε.Φ.Κ.-Κ.Ε/13758/Α325/20.08.2021 (Β' 3905), Δ.Α.Ε.Φ.Κ.-Κ.Ε/13975/Α325/20.08.2021 (Β' 3898), Δ.Α.Ε.Φ.Κ.-Κ.Ε/13665/Α325/17.08.2021 (Β' 3863) και Δ.Α.Ε.Φ.Κ.-Κ.Ε/11203/Α325/09.07.2021 (Β' 3077) αποφάσεις των Υπουργών Οικονομικών, Ανάπτυξης και Επενδύσεων, Εσωτερικών, Υποδομών και Μεταφορών όπως έχουν συμπληρωθεί και ισχύουν, λειτουργούσαν νομίμως κατά την 1η Ιουλίου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 xml:space="preserve">Έχουν ενεργό κύριο Κωδικό Αριθμό Δραστηριότητας (ΚΑΔ) κατά την 31η Δεκεμβρίου 2021 έναν από τους περιγραφόμενους στο Παράρτημα I,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 </w:t>
      </w:r>
    </w:p>
    <w:p>
      <w:pPr>
        <w:spacing w:before="240" w:after="240"/>
        <w:rPr>
          <w:lang w:val="el" w:eastAsia="el"/>
        </w:rPr>
      </w:pPr>
      <w:r>
        <w:rPr>
          <w:lang w:val="el" w:eastAsia="el"/>
        </w:rPr>
        <w:t xml:space="preserve">Ειδικά επιχειρήσεις που τηρούν διαχειριστική χρήση διαφορετική από τη διαχειριστική χρήση που λήγει την 31η Δεκεμβρίου, έχουν ενεργό κύριο ΚΑΔ κατά την 30η Ιουνίου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για τα φορολογικά έτη 2016, 2017, 2018, 2019 και 2020,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και σε κάθε περίπτωση πριν την υποβολή εκδήλωσης ενδιαφέροντος,</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2016 μέχρι 31η Μαΐου 2022,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ε)</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στ)</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ζ)</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η)</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σε κάθε περίπτωση πριν την υποβολή ενδιαφέροντος, εφόσον τηρούν διαχειριστική χρήση που λήγει την 31η Δεκεμβρίου. Ειδικά για επιχειρήσεις που τηρούν διαχειριστική χρήση διαφορετική από τη διαχειριστική χρήση που λήγει την 31η Δεκεμβρίου,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μέχρι και την προηγούμενη ημέρα από την έναρξη ισχύος της παρούσας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(https://www.aade.gr/mybusinesssupport).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έως και την 23 η Αυγούστου 2022, καθώς και από την 9η Μαρτίου 2023 έως και την 13η Μαρτίου 2023.</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«ΠΑΡΑΡΤΗΜΑ Ι</w:t>
      </w:r>
    </w:p>
    <w:p>
      <w:pPr>
        <w:spacing w:before="240" w:after="240"/>
        <w:rPr>
          <w:lang w:val="el" w:eastAsia="el"/>
        </w:rPr>
      </w:pPr>
      <w:r>
        <w:rPr>
          <w:lang w:val="el" w:eastAsia="el"/>
        </w:rPr>
        <w:t>Κωδικοί Αριθμοί Δραστηριότητας</w:t>
      </w:r>
      <w:r>
        <w:rPr>
          <w:rStyle w:val="Hyperlink"/>
          <w:color w:val="000000"/>
          <w:sz w:val="20"/>
          <w:szCs w:val="20"/>
          <w:u w:val="none" w:color="0000EE"/>
          <w:vertAlign w:val="superscript"/>
          <w:lang w:val="el" w:eastAsia="el"/>
        </w:rPr>
        <w:footnoteReference w:id="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πυρηνέλαιου,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έκθλιψης ελαιοκάρπου και άλλων ελαιούχων σπόρων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επεξεργασίας και τυποποίησης ελαιολάδου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ελαιών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115671 ΕΞ 2022 12.08.2022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115671 ΕΞ 2022 12.08.2022; Τροποποίηση A. 118478 22.08.2022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115671 ΕΞ 2022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