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4091/2022</w:t>
      </w:r>
    </w:p>
    <w:p>
      <w:pPr>
        <w:pStyle w:val="Title"/>
        <w:spacing w:before="120" w:after="360"/>
        <w:rPr>
          <w:lang w:val="el" w:eastAsia="el"/>
        </w:rPr>
      </w:pPr>
      <w:r>
        <w:rPr>
          <w:lang w:val="el" w:eastAsia="el"/>
        </w:rPr>
        <w:t>Καθορισμός του χρόνου έναρξης της παραγωγικής λειτουργίας, των τεχνικών και οργανωτικών μέτρων για τη λειτουργία της ειδικής εφαρμογής της παρ. 4 του άρθρου 67 του ν. 4950/2022 (Α' 128), των απαραίτητων διαλειτουργικοτήτων, της διαδικασίας έκδοσης της ψηφιακής χρεωστικής κάρτας, της πίστωσης της οικονομικής ενίσχυσης, καθώς και κάθε άλλης αναγκαίας λεπτομέρειας</w:t>
      </w:r>
    </w:p>
    <w:p>
      <w:pPr>
        <w:pStyle w:val="PreambelText"/>
        <w:spacing w:before="240" w:after="240"/>
        <w:rPr>
          <w:lang w:val="el" w:eastAsia="el"/>
        </w:rPr>
      </w:pPr>
      <w:r>
        <w:rPr>
          <w:b/>
          <w:bCs/>
          <w:lang w:val="el" w:eastAsia="el"/>
        </w:rPr>
        <w:t>Αριθμ. 4091/2022</w:t>
      </w:r>
    </w:p>
    <w:p>
      <w:pPr>
        <w:pStyle w:val="PreambelText"/>
        <w:spacing w:before="240" w:after="240"/>
        <w:rPr>
          <w:lang w:val="el" w:eastAsia="el"/>
        </w:rPr>
      </w:pPr>
      <w:r>
        <w:rPr>
          <w:lang w:val="el" w:eastAsia="el"/>
        </w:rPr>
        <w:t>(ΦΕΚ Β' 3995/28-07-2022)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 - ΕΠΙΚΡΑΤΕΙΑΣ ΚΑΙ Ο ΥΦΥΠΟΥΡΓΟΣ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β)</w:t>
      </w:r>
      <w:r>
        <w:rPr>
          <w:lang w:val="en" w:eastAsia="en"/>
        </w:rPr>
        <w:tab/>
      </w:r>
      <w:r>
        <w:rPr>
          <w:lang w:val="el" w:eastAsia="el"/>
        </w:rPr>
        <w:t>των Κανονισμών: i) του Κανονισμού (ΕΕ) υπ'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ii) του Κανονισμού (ΕΕ) υπ' αρ.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(L 352) και iii) του Κανονισμού (ΕΕ) υπ' αρ. 717/2014 της Επιτροπής,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(L 190),</w:t>
      </w:r>
    </w:p>
    <w:p>
      <w:pPr>
        <w:pStyle w:val="StructureList1"/>
        <w:spacing w:before="120" w:after="0"/>
        <w:rPr>
          <w:lang w:val="el" w:eastAsia="el"/>
        </w:rPr>
      </w:pPr>
      <w:r>
        <w:rPr>
          <w:lang w:val="el" w:eastAsia="el"/>
        </w:rPr>
        <w:t>γ)</w:t>
      </w:r>
      <w:r>
        <w:rPr>
          <w:lang w:val="en" w:eastAsia="en"/>
        </w:rPr>
        <w:tab/>
      </w:r>
      <w:r>
        <w:rPr>
          <w:lang w:val="el" w:eastAsia="el"/>
        </w:rPr>
        <w:t>του άρθρου 67 του ν. 4950/2022 «Ρυθμίσεις για την αντιμετώπιση της πανδημίας του κορωνοϊού COVID-19 και την προστασία της δημόσιας υγείας και άλλες επείγουσες ρυθμίσεις.» (Α' 128), και ιδίως της παρ. 13,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ιστ)</w:t>
      </w:r>
      <w:r>
        <w:rPr>
          <w:lang w:val="en" w:eastAsia="en"/>
        </w:rPr>
        <w:tab/>
      </w:r>
      <w:r>
        <w:rPr>
          <w:lang w:val="el" w:eastAsia="el"/>
        </w:rPr>
        <w:t>του π.δ. 5/2022 «Οργανισμός Υπουργείου Ανάπτυξης και Επενδύσεων» (Α' 15) και</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Τα υπό στοιχεία 14108ΕΞ2022/12.4.2022 και 13148ΕΞ2022/5.4.2022 αιτήματα ενίσχυσης των πιστώσεων του προϋπολογισμού του Υπουργείου Ψηφιακής Διακυβέρνησης, που αφορούν α) 130.000.000 ευρώ για την οικονομική ενίσχυση σε φυσικά πρόσωπα, συμπεριλαμβανομένων ελεύθερων επαγγελματιών και β) 450.000 ευρώ, πλέον Φ.Π.Α., για την κάλυψη δαπάνης της όλης διαδικασίας του μηχανισμού ενίσχυσης καυσίμου.</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5.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6. Την υπό στοιχεία 38427ΕΞ2021/29.10.2021 απόφαση του Υπουργού Επικρατείας «Τροποποίηση του καταστατικού της ανώνυμης εταιρείας “Κοινωνία της Πληροφορίας Μ.Α.Ε.” και κωδικοποίηση αυτού» (Β' 5111).</w:t>
      </w:r>
    </w:p>
    <w:p>
      <w:pPr>
        <w:pStyle w:val="PreambelText"/>
        <w:spacing w:before="240" w:after="240"/>
        <w:rPr>
          <w:lang w:val="el" w:eastAsia="el"/>
        </w:rPr>
      </w:pPr>
      <w:r>
        <w:rPr>
          <w:lang w:val="el" w:eastAsia="el"/>
        </w:rPr>
        <w:t>7. Την υπ' αρ. 29810 ΕΞ 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8. Την υπ' αρ.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υπ' αρ. 122/27.7.2022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10. Την υπό στοιχεία 32285 ΕΞ 2022/22.7.2022 εισήγηση δημοσιονομικών επιπτώσεων της ΓΔΟΔΥ του Υπουργείου Ψηφιακής Διακυβέρνησης, σύμφωνα με την οποία το εκτιμώμενο κόστος της επιβάρυνσης ανέρχεται στο ύψος των 200 εκατομ. ευρώ, το οποίο επιβαρύνει τον τακτικό προϋπολογισμό του Υπουργείου Ψηφιακής Διακυβέρνησης, κατόπιν ενίσχυσης των σχετικών πιστώσεων του Υπουργείου από τις πιστώσεις του Ειδικού Φορέα 1023711-0000000 (Γενικές Κρατικές Δαπάνες) του Υπουργείου Οικονομικών, με την παρούσα,</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Λειτουργία της ειδικής εφαρμογής της παρ. 4 του άρθρου 67</w:t>
      </w:r>
      <w:r>
        <w:rPr>
          <w:lang w:val="el" w:eastAsia="el"/>
        </w:rPr>
        <w:t xml:space="preserve"> του ν. </w:t>
      </w:r>
      <w:r>
        <w:rPr>
          <w:b/>
          <w:bCs/>
          <w:lang w:val="el" w:eastAsia="el"/>
        </w:rPr>
        <w:t>4950/2022</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4 του άρθρου 67 του ν. 4950/2022, κάθε φυσικό πρόσωπο συμπεριλαμβανομένων και ελευθέρων επαγγελματιών, που είναι φορολογικοί κάτοικοι Ελλάδας με δηλωθέν οικογενειακό εισόδημα φορολογικού έτους 2021 έως τριάντα χιλιάδες (30.000) ευρώ, προσαυξανόμενο κατά τρεις χιλιάδες (3.000) ευρώ για τον/την σύζυγο ή μέλος συμφώνου συμβίωσης και επιπλέον κατά τρεις χιλιάδες (3.000) ευρώ για κάθε εξαρτώμενο τέκνο του νοικοκυριού και έως του ποσού των σαράντα πέντε χιλιάδες (45.000) ευρώ, δύναται να αιτείται τη χορήγηση σε αυτό οικονομικής ενίσχυσης προς το σκοπό συμβολής στην κάλυψη του κόστους κατανάλωσης καυσίμων κίνησης των μηνών Ιουλίου, Αυγούστου και Σεπτεμβρίου 2022. Ειδικότερα για τους μήνες του προηγούμενου εδαφίου η πίστωση ανέρχεται στα ακόλουθα ποσά:</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εκατό (100) ευρώ με τη χρήση ψηφιακής χρεωστικής κάρτας για δικαιούχους ιδιοκτήτες οχημάτων πλην μοτοσυκλετών - μοτοποδηλάτων, με κύρια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Το ανωτέρω ποσό διαμορφώνεται σε ογδόντα πέντε (85) ευρώ, εφόσον ο δικαιούχος επιλέξει κατάθεση σε τραπεζικό λογαριασμό.</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ογδόντα (80) ευρώ με τη χρήση ψηφιακής χρεωστικής κάρτας για δικαιούχους ιδιοκτήτες οχημάτων πλην μοτοσυκλετών - μοτοποδηλάτων, με κύρια κατοικία στην υπόλοιπη Ελλάδα. Το ανωτέρω ποσό διαμορφώνεται σε εξήντα πέντε (65) ευρώ, εφόσον ο δικαιούχος επιλέξει κατάθεση σε τραπεζικό λογαριασμό.</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εβδομήντα (70) ευρώ με τη χρήση ψηφιακής χρεωστικής κάρτας για δικαιούχους ιδιοκτήτες μοτοσυκλετών - μοτοποδηλάτων, με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Το ανωτέρω ποσό διαμορφώνεται σε πενήντα πέντε (55) ευρώ, εφόσον ο δικαιούχος επιλέξει κατάθεση σε τραπεζικό λογαριασμό.</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εξήντα (60) ευρώ με τη χρήση ψηφιακής χρεωστικής κάρτας για δικαιούχους ιδιοκτήτες μοτοσυκλετών - μοτοποδηλάτων, με κύρια κατοικία στην υπόλοιπη Ελλάδα. Το ανωτέρω ποσό διαμορφώνεται στα σαράντα πέντε (45) ευρώ, εφόσον ο δικαιούχος επιλέξει κατάθεση σε τραπεζικό λογαριασμό.</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Κάθε όχημα ή μοτοσυκλέτα - μοτοποδήλατο μπορεί να δηλωθεί από ένα μόνο φυσικό πρόσωπο, το οποίο διαθέτει επί του οχήματος και της μοτοσυκλέτας - μοτοποδηλάτου πλήρη κυριότητα ή συγκυριότητα ή είναι μισθωτής δυνάμει συμβολαίου χρηματοδοτικής μίσθωσης (leasing). Κάθε φυσικό πρόσωπο μπορεί να δηλώνει μόνο ένα όχημα ή μοτοσυκλέτα - μοτοποδήλατο. Απαραίτητη προϋπόθεση είναι το όχημα, μοτοσυκλέτα - μοτοποδήλατο να είναι σε κυκλοφορία, να είναι ασφαλισμένο και να μην οφείλονται γι' αυτό τέλη κυκλοφορίας.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Η είσοδος του φυσικού προσώπου - 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 Η ενέργεια αυτή υλοποιείται, ως υπηρεσία στην υποδομή του vouchers.gov.gr και θα επαναχρησιμοποιήσει τις υπηρεσίες login TAXISnet (OAuth 2.0 client) των υπαρχόντων υπηρεσιών του Προγράμματος FuelPass, σύμφωνα με την υπό στοιχεία 2653/21.04.2022 κοινή απόφαση των Υπουργών Οικονομικών - Ανάπτυξης και Επενδύσεων - Επικρατείας και Ψηφιακής Διακυβέρνησης (Β' 2030).</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Επίσης, συμπληρώνει και τον αριθμό του προσωπικού τραπεζικού λογαριασμού του.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Για τον σκοπό της επαλήθευσης των προϋποθέσεων της παρ. 1, το πληροφοριακό σύστημα της εφαρμογής αντλεί πληροφορίες για το όχημα και μοτοσυκλέτα - μοτοποδήλατο και τον ιδιοκτήτη του με την χρήση των εξής διαδικτυακών υπηρεσιών: α) Στοιχεία οχήματος και προφίλ κατόχου από την Α.Α.Δ.Ε., β) Στοιχεία Τελών Κυκλοφορίας από την Α.Α.Δ.Ε., γ) Εύρεση ασφάλισης οχημάτων (Επικουρικό Κεφάλαιο Ασφάλισης), δ) Στοιχεία εισοδήματος και κατοικίας για την επιδότηση καυσίμων από την Α.Α.Δ.Ε, για τον έλεγχο ιδιοκτησίας ιδιωτικής χρήσης οχήματος, μοτοσικλέτας - μοτοποδηλάτου, ασφάλισης, πληρωμής τελών κυκλοφορίας και τον έλεγχο του δηλωθέντος οικογενειακού εισοδήματος, ε) Πληροφορίες μοτοποδηλάτων της Ελληνικής Αστυνομίας. Οι παραπάνω διαδικτυακές υπηρεσίες διατίθενται μέσω του Κέντρου Διαλειτουργικότητας της Γ.Γ.Π.Σ.Δ.Δ., σύμφωνα με το άρθρο 47 του ν. 4623/2019 (Α' 134) και το άρθρο 84 του ν. 4727/2020 (Α' 184).</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στην παρ. 1 σκοπό, περιορίζονται δε στα απολύτως απαραίτητα για την επίτευξη του σκοπού αυτού. Η νομική βάση επεξεργασίας των δεδομένων είναι οι περ. γ και ε της παρ. 1 του άρθρου 6 του ΓΚΠΔ. Τα ανωτέρω δεδομένα τηρούνται για τον ως άνω σκοπό για περίοδο δύο (2) ετών και στη συνέχεια διαγράφονται.</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Για τους σκοπούς της παρούσας απόφασης η ΚτΠ Μ.Α.Ε. ενεργεί υπό την ιδιότητα του Υπευθύνου επεξεργασίας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Γ.Κ.Π.Δ), τηρώντας όλες τις υποχρεώσεις που προκύπτουν από αυτόν καθώς και τον ν. 4624/2019 (Α' 137).</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Ημερομηνία υποβολής αιτήσεων</w:t>
      </w:r>
    </w:p>
    <w:p>
      <w:pPr>
        <w:spacing w:before="240" w:after="240"/>
        <w:rPr>
          <w:lang w:val="el" w:eastAsia="el"/>
        </w:rPr>
      </w:pPr>
      <w:r>
        <w:rPr>
          <w:lang w:val="el" w:eastAsia="el"/>
        </w:rPr>
        <w:t>Οι αιτήσεις των φυσικών προσώπων στην ειδική εφαρμογή γίνονται τμηματικά ανάλογα με τον λήγοντα αριθμό του ΑΦΜ τους, ως εξής: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01.</w:t>
      </w:r>
      <w:r>
        <w:rPr>
          <w:lang w:val="el" w:eastAsia="el"/>
        </w:rPr>
        <w:t xml:space="preserve"> 08.2022 για ΑΦΜ που λήγουν σε 1, 2 και 3</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02.</w:t>
      </w:r>
      <w:r>
        <w:rPr>
          <w:lang w:val="el" w:eastAsia="el"/>
        </w:rPr>
        <w:t xml:space="preserve"> 08.2022 για ΑΦΜ που λήγουν σε 4, 5, 6 και 7</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03.</w:t>
      </w:r>
      <w:r>
        <w:rPr>
          <w:lang w:val="el" w:eastAsia="el"/>
        </w:rPr>
        <w:t xml:space="preserve"> 08.2022 για ΑΦΜ που λήγουν σε 8, 9 και 0,</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Από την 4η.8.2022 και εξής, είναι δυνατή η υποβολή αιτήσεων, ανεξαρτήτως του λήγοντος αριθμού του Α.Φ.Μ. των φυσικών προσώπων.</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Τρόποι πίστωσης της οικονομικής ενίσχυσης</w:t>
      </w:r>
    </w:p>
    <w:p>
      <w:pPr>
        <w:spacing w:before="240" w:after="240"/>
        <w:rPr>
          <w:lang w:val="el" w:eastAsia="el"/>
        </w:rPr>
      </w:pPr>
      <w:r>
        <w:rPr>
          <w:lang w:val="el" w:eastAsia="el"/>
        </w:rPr>
        <w:t>Η οικονομική ενίσχυση της παρ. 1 του άρθρου 1 πιστώνεται από την ανώνυμη εταιρεία του Ελληνικού Δημοσίου «Κοινωνία της Πληροφορίας Μονοπρόσωπη Α.Ε». (ΚτΠ Μ.Α.Ε.) στον δικαιούχο μέσω της ειδικής εφαρμογής παρ. 4 του άρθρου 67 του ν. 4950/2022 είτε α) 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είτε β) σε τραπεζικό λογαριασμό επιλογής του.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πίστωσης της οικονομικής ενίσχυσης σε ψηφιακή χρεωστική κάρτα</w:t>
      </w:r>
    </w:p>
    <w:p>
      <w:pPr>
        <w:pStyle w:val="MainText"/>
        <w:spacing w:before="120" w:after="0"/>
        <w:rPr>
          <w:lang w:val="el" w:eastAsia="el"/>
        </w:rPr>
      </w:pPr>
      <w:r>
        <w:rPr>
          <w:b/>
          <w:bCs/>
          <w:lang w:val="el" w:eastAsia="el"/>
        </w:rPr>
        <w:t>1.</w:t>
      </w:r>
      <w:r>
        <w:rPr>
          <w:lang w:val="el" w:eastAsia="el"/>
        </w:rPr>
        <w:t xml:space="preserve"> Μέσω της ειδικής εφαρμογής, κάθε φυσικό πρόσωπο του πρώτου εδαφίου της παρ. 1 του άρθρου 1, δύναται να αιτείται την έκδοση ψηφιακής χρεωστικής κάρτας στην οποία πιστώνεται από την Κ.τ.Π. Μ.Α.Ε το σχετικό ποσό της οικονομικής ενίσχυσης. Η ανωτέρω κάρτα εκδίδεται ειδικά για το σκοπό του πρώτου εδαφίου της παρ. 1 του άρθρου 1 από πιστωτικό ίδρυμα ή χρηματοπιστωτικό οργανισμό, κατά την έννοια των παρ. 2 και 3 του άρθρου 3 του ν. 4557/2018 (Α' 139), αντίστοιχα.</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είσοδος του φυσικού προσώπου - δικαιούχου στην ειδική εφαρμογή, η οποία είναι προσβάσιμη μέσω της Ενιαίας Ψηφιακής Πύλης της Δημόσιας Διοίκησης (gov.gr-ΕΨΠ), μέσω του vouchers.gov.gr,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και αιτείται την έκδοση της ψηφιακής χρεωστικής κάρτας και την πίστωση του σχετικού ποσού σε αυτήν.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δικαιούχου, για τον σκοπό της έκδοσης της ψηφιακής χρεωστικής κάρτας και της πίστωσης του ποσού της οικονομικής ενίσχυσης, και εμβάζει αμελλητί στο πιστωτικό ίδρυμα ή τον χρηματοπιστωτικό οργανισμό το χρηματικό ποσό που αντιστοιχεί στον δικαιούχο. Εφόσον εγκριθεί η αίτηση, δε δύναται να τροποποιηθεί.</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Ακολούθως,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και β) μήνυμα ηλεκτρονικού ταχυδρομείου (e-mail) στην ηλεκτρονική διεύθυνση που έχει δηλώσει ο δικαιούχος στην ειδική εφαρμογή με ενσωματωμένο σύνδεσμο για την ενεργοποίηση της ψηφιακής χρεωστικής κάρτας. Μετά την είσοδο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 του.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lang w:val="el" w:eastAsia="el"/>
        </w:rPr>
        <w:t xml:space="preserve"> Το χρηματικό ποσό που πιστώνεται στην χρεωστική κάρτα, δύναται να χρησιμοποιείται αποκλειστικά από τον δικαιούχο για την πραγματοποίηση αγοράς καυσίμων και δεν είναι εφικτή οποιαδήποτε μεταφορά σε τρίτο πρόσωπο, εκτός των ανωτέρω ή η ανάληψή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lang w:val="el" w:eastAsia="el"/>
        </w:rPr>
        <w:t xml:space="preserve"> Η ψηφιακή χρεωστική κάρτα παραμένει ενεργοποιημένη έως την 31η.10.2022, μετά την πάροδο της οποίας το πιστωτικό ίδρυμα ή ο χρηματοπιστωτικός οργανισμός υποχρεούται άμεσα να την απενεργοποιήσει.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Η χρήση της ψηφιακής χρεωστικής κάρτας πραγματοποιείται μέσω συσκευής, η οποία υποστηρίζει την τεχνολογία ανέπαφων συναλλαγών.(Web/Virtual POS).</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και επίλυση προβλημάτων και την παροχή οδηγιών.</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πίστωσης της οικονομικής ενίσχυσης σε τραπεζικό λογαριασμό</w:t>
      </w:r>
    </w:p>
    <w:p>
      <w:pPr>
        <w:pStyle w:val="MainText"/>
        <w:spacing w:before="120" w:after="0"/>
        <w:rPr>
          <w:lang w:val="el" w:eastAsia="el"/>
        </w:rPr>
      </w:pPr>
      <w:r>
        <w:rPr>
          <w:b/>
          <w:bCs/>
          <w:lang w:val="el" w:eastAsia="el"/>
        </w:rPr>
        <w:t>1.</w:t>
      </w:r>
      <w:r>
        <w:rPr>
          <w:lang w:val="el" w:eastAsia="el"/>
        </w:rPr>
        <w:t xml:space="preserve"> Μέσω της ειδικής εφαρμογής, κάθε φυσικό πρόσωπο του πρώτου εδαφίου της παρ. 1 του άρθρου 1, δύναται να αιτείται την πίστωση της οικονομικής ενίσχυσης της παρ. 1 του άρθρου 1 σε τραπεζικό λογαριασμό της επιλογής του, όπως αυτή διαμορφώνεται αν ο δικαιούχος επιλέξει κατάθεση σε τραπεζικό λογαριασμό.</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τον αριθμό του κινητού τηλεφώνου, συμπληρώνει τον αριθμό του προσωπικού τραπεζικού λογαριασμού του και αιτείται την πίστωση του σχετικού ποσού στον λογαριασμό αυτόν.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τον αριθμό κινητού τηλεφώνου του δικαιούχου και τον αριθμό του προσωπικού τραπεζικού λογαριασμού του για τον σκοπό της πίστωσης του ποσού της οικονομικής ενίσχυσης, και εν συνεχεία εμβάζει, στο πιστωτικό ίδρυμα ή τον χρηματοπιστωτικό οργανισμό το χρηματικό ποσό που αντιστοιχεί στον δικαιούχο.</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έκδοσης της ψηφιακής χρεωστικής κάρτας ή πίστωσης στον τραπεζικό λογαριασμό από τα Κ.Ε.Π.</w:t>
      </w:r>
    </w:p>
    <w:p>
      <w:pPr>
        <w:pStyle w:val="MainText"/>
        <w:spacing w:before="120" w:after="0"/>
        <w:rPr>
          <w:lang w:val="el" w:eastAsia="el"/>
        </w:rPr>
      </w:pPr>
      <w:r>
        <w:rPr>
          <w:b/>
          <w:bCs/>
          <w:lang w:val="el" w:eastAsia="el"/>
        </w:rPr>
        <w:t>1.</w:t>
      </w:r>
      <w:r>
        <w:rPr>
          <w:lang w:val="el" w:eastAsia="el"/>
        </w:rPr>
        <w:t xml:space="preserve"> Η περιγραφόμενη στα άρθρα 4 και 5 διαδικασία μπορεί να πραγματοποιηθεί και μέσω των Κ.Ε.Π., από πιστοποιημένο υπάλληλο, κατόπιν σχετικής αίτησης του φυσικού προσώπου - δικαιούχου, κατά τις ημερομηνίες υποβολής των αιτήσεων, σύμφωνα με το άρθρο 2.</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ΓΓΠΣΔΔ του Υπουργείου Ψηφιακής Διακυβέρνησης, σύμφωνα με την υπό στοιχεία 29810 ΕΞ 2020 απόφασης του Υπουργού Επικρατείας (Β' 4798). Στη συνέχεια, ο υπάλληλος καταχωρίζει στα πεδία που εμφανίζονται στο σύστημα: α) τον ΑΦΜ του φυσικού προσώπου, β) τον αριθμό κυκλοφορίας του οχήματος, μοτοσυκλέτας - μοτοποδηλάτου, επιβεβαιώνοντας ότι το δηλούμενο είναι ιδιοκτησίας του ή συνιδιοκτησίας του, ή μισθωμένο όχημα που του έχει παραχωρηθεί προς χρήση (leasing), καταχωριζομένου στην τελευταία περίπτωση και του ΑΦΜ της εκμισθώτριας εταιρείας, γ) τα στοιχεία επικοινωνίας του φυσικού προσώπου, και ειδικότερα τη διεύθυνση ηλεκτρονικού ταχυδρομείου και τον αριθμό του κινητού τηλεφώνου, και αιτείται για λογαριασμό του φυσικού προσώπου είτε την έκδοση της ψηφιακής χρεωστικής κάρτας και την πίστωση του σχετικού ποσού είτε την πίστωση του σχετικού ποσού στον τραπεζικό λογαριασμό του αιτούντος φυσικού προσώπου, τον οποίο και δηλώνει στον υπάλληλο.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ανωτέρω διαδικασία έκδοσης της ψηφιακής χρεωστικής κάρτας ή δήλωσης του επιθυμητού τραπεζικού λογαριασμού του δικαιούχου δύναται να πραγματοποιείται και με εξουσιοδότηση του εκπροσώπου του φυσικού προσώπου.</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εκκαθάρισης 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την παρ. 7 του άρθρου 4,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 προκειμένου να αποδοθεί, εν τέλει, στο Ελληνικό Δημόσιο.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τον δικαιούχο αποκλείεται.</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παραγωγικής λειτουργίας</w:t>
      </w:r>
    </w:p>
    <w:p>
      <w:pPr>
        <w:spacing w:before="240" w:after="240"/>
        <w:rPr>
          <w:lang w:val="el" w:eastAsia="el"/>
        </w:rPr>
      </w:pPr>
      <w:r>
        <w:rPr>
          <w:lang w:val="el" w:eastAsia="el"/>
        </w:rPr>
        <w:t>Η παραγωγική λειτουργία της ειδικής εφαρμογής της παρ. 4 του άρθρου 67 του ν. 4950/2022 (Α' 128) εκκινεί την 01η.08.2022 και λήγει την 01η.09.2022.</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4105/2022 30.07.2022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