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Ανεξάρτητη Αρχή Δημοσίων Εσόδω</w:t>
      </w:r>
    </w:p>
    <w:p>
      <w:pPr>
        <w:pStyle w:val="PreambelText"/>
        <w:spacing w:before="240" w:after="240"/>
        <w:rPr>
          <w:lang w:val="el" w:eastAsia="el"/>
        </w:rPr>
      </w:pPr>
      <w:r>
        <w:rPr>
          <w:b/>
          <w:bCs/>
          <w:lang w:val="el" w:eastAsia="el"/>
        </w:rPr>
        <w:t xml:space="preserve">Μ. I dniryn uiLiwii^i£.n </w:t>
      </w:r>
      <w:r>
        <w:rPr>
          <w:lang w:val="el" w:eastAsia="el"/>
        </w:rPr>
        <w:t>μ/Ο</w:t>
      </w:r>
      <w:r>
        <w:rPr>
          <w:b/>
          <w:bCs/>
          <w:lang w:val="el" w:eastAsia="el"/>
        </w:rPr>
        <w:t>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ΚΑΙ</w:t>
      </w:r>
    </w:p>
    <w:p>
      <w:pPr>
        <w:pStyle w:val="PreambelText"/>
        <w:spacing w:before="240" w:after="240"/>
        <w:rPr>
          <w:lang w:val="el" w:eastAsia="el"/>
        </w:rPr>
      </w:pPr>
      <w:r>
        <w:rPr>
          <w:b/>
          <w:bCs/>
          <w:lang w:val="el" w:eastAsia="el"/>
        </w:rPr>
        <w:t>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w:t>
      </w:r>
    </w:p>
    <w:p>
      <w:pPr>
        <w:spacing w:before="240" w:after="240"/>
        <w:rPr>
          <w:lang w:val="el" w:eastAsia="el"/>
        </w:rPr>
      </w:pPr>
      <w:r>
        <w:rPr>
          <w:b/>
          <w:bCs/>
          <w:lang w:val="el" w:eastAsia="el"/>
        </w:rPr>
        <w:t>E-Mail Url</w:t>
      </w:r>
    </w:p>
    <w:p>
      <w:pPr>
        <w:spacing w:before="240" w:after="240"/>
        <w:rPr>
          <w:lang w:val="el" w:eastAsia="el"/>
        </w:rPr>
      </w:pPr>
      <w:r>
        <w:rPr>
          <w:b/>
          <w:bCs/>
          <w:lang w:val="el" w:eastAsia="el"/>
        </w:rPr>
        <w:t>Πανεπιστημίου 20</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210 3605159 -</w:t>
      </w:r>
    </w:p>
    <w:p>
      <w:pPr>
        <w:spacing w:before="240" w:after="240"/>
        <w:rPr>
          <w:lang w:val="el" w:eastAsia="el"/>
        </w:rPr>
      </w:pPr>
      <w:r>
        <w:rPr>
          <w:b/>
          <w:bCs/>
          <w:lang w:val="el" w:eastAsia="el"/>
        </w:rPr>
        <w:t>3630573 - 3636059</w:t>
      </w:r>
    </w:p>
    <w:p>
      <w:pPr>
        <w:spacing w:before="240" w:after="240"/>
        <w:rPr>
          <w:lang w:val="el" w:eastAsia="el"/>
        </w:rPr>
      </w:pPr>
      <w:r>
        <w:rPr>
          <w:b/>
          <w:bCs/>
          <w:lang w:val="el" w:eastAsia="el"/>
        </w:rPr>
        <w:t>2103635963</w:t>
      </w:r>
    </w:p>
    <w:p>
      <w:pPr>
        <w:spacing w:before="240" w:after="240"/>
        <w:rPr>
          <w:lang w:val="el" w:eastAsia="el"/>
        </w:rPr>
      </w:pPr>
      <w:hyperlink r:id="rId4" w:history="1">
        <w:r>
          <w:rPr>
            <w:rStyle w:val="Hyperlink"/>
            <w:b/>
            <w:bCs/>
            <w:color w:val="0000EE"/>
            <w:u w:color="0000EE"/>
            <w:lang w:val="el" w:eastAsia="el"/>
          </w:rPr>
          <w:t>deispraxeon@aade.gr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w:t>
      </w:r>
    </w:p>
    <w:p>
      <w:pPr>
        <w:spacing w:before="240" w:after="240"/>
        <w:rPr>
          <w:lang w:val="el" w:eastAsia="el"/>
        </w:rPr>
      </w:pPr>
      <w:r>
        <w:rPr>
          <w:b/>
          <w:bCs/>
          <w:lang w:val="el" w:eastAsia="el"/>
        </w:rPr>
        <w:t>ΦΟΡΟΛΟΓΙΚΩΝ ΕΦΑΡΜΟΓΩΝ ΤΜΗΜΑΤΑ Α΄ &amp; Γ΄</w:t>
      </w:r>
    </w:p>
    <w:p>
      <w:pPr>
        <w:spacing w:before="240" w:after="240"/>
        <w:rPr>
          <w:lang w:val="el" w:eastAsia="el"/>
        </w:rPr>
      </w:pPr>
      <w:r>
        <w:rPr>
          <w:b/>
          <w:bCs/>
          <w:lang w:val="el" w:eastAsia="el"/>
        </w:rPr>
        <w:t>ΘΕΜΑ: «Τροποποίηση της υπό στοιχεία ΠΟΛ 1274/27.12.2013) απόφασης τουΓενικού Γραμματέα Δημοσίων Εσόδων του Υπουργείου Οικονομικών «ΑποδεικτικόΕνημερότητας άρθρου 12 ν.4174/2013 (ΦΕΚ 170 Α΄), όπως ισχύει» (Β΄3398).»</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12 και της παρ.2 του άρθρου 48 του ν.4174/2013 «Φορολογικές διαδικασίες και άλλες διατάξεις» (Α΄170), ( Κ.Φ.Δ.),</w:t>
      </w:r>
    </w:p>
    <w:p>
      <w:pPr>
        <w:pStyle w:val="StructureList1"/>
        <w:spacing w:before="120" w:after="0"/>
        <w:rPr>
          <w:lang w:val="el" w:eastAsia="el"/>
        </w:rPr>
      </w:pPr>
      <w:r>
        <w:rPr>
          <w:lang w:val="el" w:eastAsia="el"/>
        </w:rPr>
        <w:t>β)</w:t>
      </w:r>
      <w:r>
        <w:rPr>
          <w:lang w:val="en" w:eastAsia="en"/>
        </w:rPr>
        <w:tab/>
      </w:r>
      <w:r>
        <w:rPr>
          <w:b/>
          <w:bCs/>
          <w:lang w:val="el" w:eastAsia="el"/>
        </w:rPr>
        <w:t>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ιδίως της παρ. 1 του άρθρου 13, της παρ. 5 του άρθρου 14 και της υποπερ. ββ της περ. β της παρ. 2, της παρ. 3α και της παρ. 10 του άρθρου 41 και</w:t>
      </w:r>
    </w:p>
    <w:p>
      <w:pPr>
        <w:pStyle w:val="StructureList1"/>
        <w:spacing w:before="120" w:after="0"/>
        <w:rPr>
          <w:lang w:val="el" w:eastAsia="el"/>
        </w:rPr>
      </w:pPr>
      <w:r>
        <w:rPr>
          <w:lang w:val="el" w:eastAsia="el"/>
        </w:rPr>
        <w:t>γ)</w:t>
      </w:r>
      <w:r>
        <w:rPr>
          <w:lang w:val="en" w:eastAsia="en"/>
        </w:rPr>
        <w:tab/>
      </w:r>
      <w:r>
        <w:rPr>
          <w:b/>
          <w:bCs/>
          <w:lang w:val="el" w:eastAsia="el"/>
        </w:rPr>
        <w:t xml:space="preserve">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w:t>
      </w:r>
      <w:r>
        <w:rPr>
          <w:lang w:val="el" w:eastAsia="el"/>
        </w:rPr>
        <w:t xml:space="preserve">́ </w:t>
      </w:r>
      <w:r>
        <w:rPr>
          <w:b/>
          <w:bCs/>
          <w:lang w:val="el" w:eastAsia="el"/>
        </w:rPr>
        <w:t>4738).</w:t>
      </w:r>
    </w:p>
    <w:p>
      <w:pPr>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τις αποφάσεις : υπ’ 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υπό στοιχεία ΠΟΛ 1274/27.12.2013 απόφαση Γενικού Γραμματέα Δημοσίων Εσόδων του Υπουργείου Οικονομικών «Αποδεικτικό Ενημερότητας άρθρου 12 ν.4174/2013 (ΦΕΚ 170 Α΄), όπως ισχύει» (Β΄3398).</w:t>
      </w:r>
    </w:p>
    <w:p>
      <w:pPr>
        <w:spacing w:before="240" w:after="240"/>
        <w:rPr>
          <w:lang w:val="el" w:eastAsia="el"/>
        </w:rPr>
      </w:pPr>
      <w:r>
        <w:rPr>
          <w:lang w:val="el" w:eastAsia="el"/>
        </w:rPr>
        <w:t xml:space="preserve">4. </w:t>
      </w:r>
      <w:r>
        <w:rPr>
          <w:b/>
          <w:bCs/>
          <w:lang w:val="el" w:eastAsia="el"/>
        </w:rPr>
        <w:t>Την ανάγκη τροποποίησης της υπό στοιχεία ΠΟΛ 1274/27.12.2013 απόφασης του Γενικού Γραμματέα Δημοσίων Εσόδων, ώστε να διευκολύνονται περαιτέρω οι συναλλαγές με τους φορείς του Δημοσίου Τομέα στην περίπτωση ύπαρξης περιοδικών απαιτήσεων για την είσπραξη των οποίων απαιτείται αποδεικτικό ενημερότητας.</w:t>
      </w:r>
    </w:p>
    <w:p>
      <w:pPr>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υποπερ. v της περ. α’ της παρ. 2 του άρθρου 7 της υπό στοιχεία ΠΟΛ. 1274/27.12.2013 απόφασης του Γενικού Γραμματέα Δημοσίων Εσόδων αντικαθίσταται ως εξής:</w:t>
      </w:r>
    </w:p>
    <w:p>
      <w:pPr>
        <w:spacing w:before="240" w:after="240"/>
        <w:rPr>
          <w:lang w:val="el" w:eastAsia="el"/>
        </w:rPr>
      </w:pPr>
      <w:r>
        <w:rPr>
          <w:b/>
          <w:bCs/>
          <w:lang w:val="el" w:eastAsia="el"/>
        </w:rPr>
        <w:t>«v. Κατ’ εξαίρεση, στις περιπτώσεις ύπαρξης στοιχείων για περιοδικές απαιτήσεις για την είσπραξη των οποίων είναι υποχρεωτική η προσκόμιση αποδεικτικού ενημερότητας, το ποσοστό παρακράτησης ορίζεται στο δέκα τοις εκατό (10%) επί του εισπραττόμενου ποσού για συνολική εναπομένουσα ρυθμισμένη οφειλή έως είκοσι χιλιάδες (20.000) ευρώ. Εάν η συνολική εναπομένουσα ρυθμισμένη οφειλή είναι άνω των είκοσι χιλιάδων (20.000) ευρώ, το ποσοστό παρακράτησης πρέπει να αντιστοιχεί στην κάλυψη μίας (1) δόσης της τηρούμενης ρύθμισης/ρυθμίσεων που έπονται της ημερομηνίας κατάθεσης του αιτήματος χορήγησης του αποδεικτικού ενημερότητας και να ανέρχεται σε ποσοστό τουλάχιστον δέκα τοις εκατό (10%) του εισπραττόμενου ποσού, αλλά να μην υπερβαίνει το τριάντα τοις εκατό (30%) αυτού.»</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3.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4. </w:t>
      </w:r>
      <w:r>
        <w:rPr>
          <w:b/>
          <w:bCs/>
          <w:lang w:val="el" w:eastAsia="el"/>
        </w:rPr>
        <w:t>Αποδέκτες πίνακα Β, Δ, Ε, ΣΤ, Ζ, Η</w:t>
      </w:r>
    </w:p>
    <w:p>
      <w:pPr>
        <w:spacing w:before="240" w:after="240"/>
        <w:rPr>
          <w:lang w:val="el" w:eastAsia="el"/>
        </w:rPr>
      </w:pPr>
      <w:r>
        <w:rPr>
          <w:lang w:val="el" w:eastAsia="el"/>
        </w:rPr>
        <w:t xml:space="preserve">5. </w:t>
      </w:r>
      <w:r>
        <w:rPr>
          <w:b/>
          <w:bCs/>
          <w:lang w:val="el" w:eastAsia="el"/>
        </w:rPr>
        <w:t>Αποδέκτες πίνακα Θ (εκτός από το Εθνικό Τυπογραφείο και με την παράκληση το Υπουργείο Δικαιοσύνης να ενημερώσει όλους τους Δικηγορικούς Συλλόγους)</w:t>
      </w:r>
    </w:p>
    <w:p>
      <w:pPr>
        <w:spacing w:before="240" w:after="240"/>
        <w:rPr>
          <w:lang w:val="el" w:eastAsia="el"/>
        </w:rPr>
      </w:pPr>
      <w:r>
        <w:rPr>
          <w:lang w:val="el" w:eastAsia="el"/>
        </w:rPr>
        <w:t xml:space="preserve">6. </w:t>
      </w:r>
      <w:r>
        <w:rPr>
          <w:b/>
          <w:bCs/>
          <w:lang w:val="el" w:eastAsia="el"/>
        </w:rPr>
        <w:t>Αποδέκτες πίνακα Ι, ΙΒ, ΙΔ, ΙΕ, ΙΣΤ</w:t>
      </w:r>
    </w:p>
    <w:p>
      <w:pPr>
        <w:spacing w:before="240" w:after="240"/>
        <w:rPr>
          <w:lang w:val="el" w:eastAsia="el"/>
        </w:rPr>
      </w:pPr>
      <w:r>
        <w:rPr>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8. </w:t>
      </w:r>
      <w:r>
        <w:rPr>
          <w:b/>
          <w:bCs/>
          <w:lang w:val="el" w:eastAsia="el"/>
        </w:rPr>
        <w:t>Γενική Γραμματεία Δημοσιονομικής Πολιτικής</w:t>
      </w:r>
    </w:p>
    <w:p>
      <w:pPr>
        <w:spacing w:before="240" w:after="240"/>
        <w:rPr>
          <w:lang w:val="el" w:eastAsia="el"/>
        </w:rPr>
      </w:pPr>
      <w:r>
        <w:rPr>
          <w:lang w:val="el" w:eastAsia="el"/>
        </w:rPr>
        <w:t xml:space="preserve">9. </w:t>
      </w:r>
      <w:r>
        <w:rPr>
          <w:b/>
          <w:bCs/>
          <w:lang w:val="el" w:eastAsia="el"/>
        </w:rPr>
        <w:t>Γενική Γραμματεία Οικονομικής Πολιτικής</w:t>
      </w:r>
    </w:p>
    <w:p>
      <w:pPr>
        <w:spacing w:before="240" w:after="240"/>
        <w:rPr>
          <w:lang w:val="el" w:eastAsia="el"/>
        </w:rPr>
      </w:pPr>
      <w:r>
        <w:rPr>
          <w:lang w:val="el" w:eastAsia="el"/>
        </w:rPr>
        <w:t xml:space="preserve">10.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Εισπράξεων και Επιστροφών – Τμήματα Α-Ε,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