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Α.1105/2022</w:t>
      </w:r>
    </w:p>
    <w:p>
      <w:pPr>
        <w:pStyle w:val="Title"/>
        <w:spacing w:before="120" w:after="360"/>
        <w:rPr>
          <w:lang w:val="el" w:eastAsia="el"/>
        </w:rPr>
      </w:pPr>
      <w:r>
        <w:rPr>
          <w:lang w:val="el" w:eastAsia="el"/>
        </w:rPr>
        <w:t>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w:t>
      </w:r>
    </w:p>
    <w:p>
      <w:pPr>
        <w:pStyle w:val="PreambelText"/>
        <w:spacing w:before="240" w:after="240"/>
        <w:rPr>
          <w:lang w:val="el" w:eastAsia="el"/>
        </w:rPr>
      </w:pPr>
      <w:r>
        <w:rPr>
          <w:lang w:val="el" w:eastAsia="el"/>
        </w:rPr>
        <w:t>Αθήνα, 29 Ιουλίου 2022</w:t>
      </w:r>
    </w:p>
    <w:p>
      <w:pPr>
        <w:pStyle w:val="PreambelText"/>
        <w:spacing w:before="240" w:after="240"/>
        <w:rPr>
          <w:lang w:val="el" w:eastAsia="el"/>
        </w:rPr>
      </w:pPr>
      <w:r>
        <w:rPr>
          <w:i/>
          <w:iCs/>
          <w:lang w:val="el" w:eastAsia="el"/>
        </w:rPr>
        <w:t>Α 1105/2022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4190/08-08-2022)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b/>
          <w:bCs/>
          <w:lang w:val="el" w:eastAsia="el"/>
        </w:rPr>
        <w:t>Α 1105/2022</w:t>
      </w:r>
    </w:p>
    <w:p>
      <w:pPr>
        <w:pStyle w:val="PreambelText"/>
        <w:spacing w:before="240" w:after="240"/>
        <w:rPr>
          <w:lang w:val="el" w:eastAsia="el"/>
        </w:rPr>
      </w:pPr>
      <w:r>
        <w:rPr>
          <w:b/>
          <w:bCs/>
          <w:lang w:val="el" w:eastAsia="el"/>
        </w:rPr>
        <w:t>ΘΕΜΑ: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αυτού.</w:t>
      </w:r>
    </w:p>
    <w:p>
      <w:pPr>
        <w:pStyle w:val="PreambelText"/>
        <w:spacing w:before="240" w:after="240"/>
        <w:rPr>
          <w:lang w:val="el" w:eastAsia="el"/>
        </w:rPr>
      </w:pPr>
      <w:r>
        <w:rPr>
          <w:lang w:val="el" w:eastAsia="el"/>
        </w:rPr>
        <w:t>3. Τον υπ' αρ.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 υπ' αρ. 460/2020 (l 099).</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(L 347).</w:t>
      </w:r>
    </w:p>
    <w:p>
      <w:pPr>
        <w:pStyle w:val="PreambelText"/>
        <w:spacing w:before="240" w:after="240"/>
        <w:rPr>
          <w:lang w:val="el" w:eastAsia="el"/>
        </w:rPr>
      </w:pPr>
      <w:r>
        <w:rPr>
          <w:lang w:val="el" w:eastAsia="el"/>
        </w:rPr>
        <w:t>7. Τον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 ν.δ. 356/1974 «Περί κώδικος εισπράξεως Δημοσίων Εσόδων» (Α' 90), (Κ.Ε.Δ.Ε.).</w:t>
      </w:r>
    </w:p>
    <w:p>
      <w:pPr>
        <w:pStyle w:val="PreambelText"/>
        <w:spacing w:before="240" w:after="240"/>
        <w:rPr>
          <w:lang w:val="el" w:eastAsia="el"/>
        </w:rPr>
      </w:pPr>
      <w:r>
        <w:rPr>
          <w:lang w:val="el" w:eastAsia="el"/>
        </w:rPr>
        <w:t>10. Το π.δ. 2/2021 «Διορισμός Υπουργών, Αναπληρωτών Υπουργών και Υφυπουργών» (Α' 2)</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98/2020 «Οργανισμός της Προεδρίας της Κυβέρνησης» (Α' 236).</w:t>
      </w:r>
    </w:p>
    <w:p>
      <w:pPr>
        <w:pStyle w:val="PreambelText"/>
        <w:spacing w:before="240" w:after="240"/>
        <w:rPr>
          <w:lang w:val="el" w:eastAsia="el"/>
        </w:rPr>
      </w:pPr>
      <w:r>
        <w:rPr>
          <w:lang w:val="el" w:eastAsia="el"/>
        </w:rPr>
        <w:t>17. Το π.δ. 80/2016 «Ανάληψη υποχρεώσεων από τους διατάκτες» (Α' 145).</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(π.δ.63/2005, Α'98), όπως διατηρήθηκε σε ισχύ με την παρ. 22 του άρθρου 119 του ν. 4622/2019 (Α' 133).</w:t>
      </w:r>
    </w:p>
    <w:p>
      <w:pPr>
        <w:pStyle w:val="PreambelText"/>
        <w:spacing w:before="240" w:after="240"/>
        <w:rPr>
          <w:lang w:val="el" w:eastAsia="el"/>
        </w:rPr>
      </w:pPr>
      <w:r>
        <w:rPr>
          <w:lang w:val="el" w:eastAsia="el"/>
        </w:rPr>
        <w:t>19. Την υπό στοιχεία Υ26/13.08.2021 απόφαση του Πρωθυπουργού «Ανάθεση αρμοδιοτήτων στον Υφυπουργό στον Πρωθυπουργό, Ιωάννη Οικονόμου» (Β' 3788).</w:t>
      </w:r>
    </w:p>
    <w:p>
      <w:pPr>
        <w:pStyle w:val="PreambelText"/>
        <w:spacing w:before="240" w:after="240"/>
        <w:rPr>
          <w:lang w:val="el" w:eastAsia="el"/>
        </w:rPr>
      </w:pPr>
      <w:r>
        <w:rPr>
          <w:lang w:val="el" w:eastAsia="el"/>
        </w:rPr>
        <w:t>20.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22.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24.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46274/22.9.2014, (Β' 2573)» (Β' 2857).</w:t>
      </w:r>
    </w:p>
    <w:p>
      <w:pPr>
        <w:pStyle w:val="PreambelText"/>
        <w:spacing w:before="240" w:after="240"/>
        <w:rPr>
          <w:lang w:val="el" w:eastAsia="el"/>
        </w:rPr>
      </w:pPr>
      <w:r>
        <w:rPr>
          <w:lang w:val="el" w:eastAsia="el"/>
        </w:rPr>
        <w:t>25. Την υπό στοιχεία 126829/EΥΘΥ1217/8.12.2015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26. Την υπ' αρ. 109/12-3-2019 πράξη του Διοικητή της Τράπεζας της Ελλάδος.</w:t>
      </w:r>
    </w:p>
    <w:p>
      <w:pPr>
        <w:pStyle w:val="PreambelText"/>
        <w:spacing w:before="240" w:after="240"/>
        <w:rPr>
          <w:lang w:val="el" w:eastAsia="el"/>
        </w:rPr>
      </w:pPr>
      <w:r>
        <w:rPr>
          <w:lang w:val="el" w:eastAsia="el"/>
        </w:rPr>
        <w:t>27. Την από 29.07.2022 εισήγηση του Διοικητή της Ανεξάρτητης Αρχής Δημοσίων Εσόδων (ΑΑΔΕ).</w:t>
      </w:r>
    </w:p>
    <w:p>
      <w:pPr>
        <w:pStyle w:val="PreambelText"/>
        <w:spacing w:before="240" w:after="240"/>
        <w:rPr>
          <w:lang w:val="el" w:eastAsia="el"/>
        </w:rPr>
      </w:pPr>
      <w:r>
        <w:rPr>
          <w:lang w:val="el" w:eastAsia="el"/>
        </w:rPr>
        <w:t>28. Την υπό στοιχεία 60059 ΕΞ 2021/21.5.2021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απόφασης, δεν προκαλείται επιπλέον δαπάνη στον κρατικό προϋπολογισμό πέραν αυτής που προκλήθηκε με τον ν. 4949/2022, καθόσον με την παρούσα ρυθμίζονται θέματα διαδικαστικού χαρακτήρα,</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επιχορήγησης του μεταφορικού κόστους και του κόστους δημοσιογραφικού χάρτου για τη διανομή των εντύπων των εκδοτικών επιχειρήσεων που εκδίδουν εφημερίδες και περιοδικά τοπικής, περιφερειακής, καθώς και πανελλήνιας κυκλοφορίας, με τις προϋποθέσεις του άρθρου 81 ν. 4949/2022, όπως αυτές εξειδικεύονται στο άρθρο 3 της παρούσας και υπό τους όρους του τμήματος 2.1 της υπό στοιχεία (2022)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Ειδικά η πρόσθετη ενίσχυση, όπως αυτή ορίζεται στην παρ. 8 του άρθρου 2, χορηγείται σύμφωνα με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τροποποιήθηκε με την υπό στοιχεία 2023/C/1188 ανακοίνωση της Ευρωπαϊκής Επιτροπής (ΕΕ) «Τροποποίησης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 με τις προϋποθέσεις του άρθρου 81 του ν. 4949/2022, όπως αυτό τροποποιήθηκε με το άρθρο 35 του ν. 5111/2024 (Α' 76) και σύμφωνα με τις προϋποθέσεις της υπό στοιχεία C (2024) 2823 final/26.4.2024 απόφασης της Ε.Ε.</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διάρκεια της επιχορήγησης καθορίζεται σε ένα (1) ημερολογιακό δίμηνο και τρία (3) ημερολογιακά τρίμηνα αρχής γενομένης από 1ης.2.2022 σε βάρος του συγχρηματοδοτούμενου σκέλους του Προγράμματος Δημοσίων Επενδύσεων του Υπουργείου Οικονομικών. Η επιχορήγηση καταβάλλεται ανά ημερολογιακό δίμηνο ή τρίμηνο σε λογαριασμό ΙΒΑΝ, που οι επιχορηγούμενες εκδοτικές επιχειρήσεις γνωστοποιούν στην ΑΑΔΕ στην ψηφιακή πύλη myAADE στην επιλογή Μητρώο &amp; Επικοινωνία/Δήλωση Λογαριασμού ΙΒΑΝ.</w:t>
      </w:r>
    </w:p>
    <w:p>
      <w:pPr>
        <w:pStyle w:val="MainText"/>
        <w:spacing w:before="120" w:after="0"/>
        <w:rPr>
          <w:lang w:val="el" w:eastAsia="el"/>
        </w:rPr>
      </w:pPr>
      <w:r>
        <w:rPr>
          <w:b/>
          <w:bCs/>
          <w:lang w:val="el" w:eastAsia="el"/>
        </w:rPr>
        <w:t>3.</w:t>
      </w:r>
      <w:r>
        <w:rPr>
          <w:lang w:val="el" w:eastAsia="el"/>
        </w:rPr>
        <w:t xml:space="preserve"> Το ύψος της ενίσχυσης του μεταφορικού κόστους είναι ανάλογο του συνολικού μεταφορικού κόστους του διμήνου ή τριμήνου. Το μέγιστο ποσό της επιχορήγησης ισούται με το μεταφορικό κόστος του αντίστοιχου διμήνου ή τριμήνου του αμέσως προηγούμενου φορολογικού έτους, όπως αυτό πιστοποιείται από το εκάστοτε Πρακτορείο Διανομής, βάσει των τηρουμένων λογιστικών αρχείων και των εκδιδόμενων στοιχείων του, κατ' εφαρμογή των διατάξεων του ν. 4308/2014 (Α' 251), καθώς και από τα παραστατικά και λοιπά αποδεικτικά των λειτουργικών εξόδων των ίδιων μέσων των επιχειρήσεων.</w:t>
      </w:r>
    </w:p>
    <w:p>
      <w:pPr>
        <w:pStyle w:val="MainText"/>
        <w:spacing w:before="120" w:after="0"/>
        <w:rPr>
          <w:lang w:val="el" w:eastAsia="el"/>
        </w:rPr>
      </w:pPr>
      <w:r>
        <w:rPr>
          <w:b/>
          <w:bCs/>
          <w:lang w:val="el" w:eastAsia="el"/>
        </w:rPr>
        <w:t>4.</w:t>
      </w:r>
      <w:r>
        <w:rPr>
          <w:lang w:val="el" w:eastAsia="el"/>
        </w:rPr>
        <w:t xml:space="preserve"> 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εκατό τοις εκατό (100%) του επιπλέον κόστους δημοσιογραφικού χάρτου σε σχέση με το κόστος του αντίστοιχου διμήνου ή τριμήνου του αμέσως προηγούμενου φορολογικού έτους, όπως αυτό αποδεικνύεται από τα παραστατικά αγοράς των επιχειρήσεων, τα παραστατικά εκτυπώσεως, τα λοιπά στοιχεία που παρέχουν οι επιχειρήσεις εκτύπωσης και από έκθεση ορκωτού λογιστή, για τις επιχειρήσεις των οποίων οι οικονομικές καταστάσεις ελέγχονται υποχρεωτικά από ορκωτούς ελεγκτές - λογιστές. Σε περίπτωση που δεν επισυναφθούν παραστατικά για το 2021, ελλείψει στοιχείων σύγκρισης, υπολογίζεται μηδενική ενίσχυση για το κόστος δημοσιογραφικού χάρτου.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Το ύψος της συνολικής ενίσχυσης (αρχικής και πρόσθετης) που χορηγείται δυνάμει της παρούσας στους δικαιούχους σε επίπεδο ενιαίας οικονομικής οντότητας, σύμφωνα με τον ορισμό του άρθρου 2 παρ. 10 της παρούσας, συνυπολογιζόμενων των ενισχύσεων που έχουν χορηγηθεί σε αυτούς ομοίως σε επίπεδο ενιαίας οικονομικής οντότητας κατά τα ανωτέρω, βάσει οιουδήποτε καθεστώτος, δυνάμει του τμήματος 2.1 της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και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δεν θα υπερβαίνει τα όρια που τίθενται στο τμήμα 2.1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τροποποιήθηκαν με την υπό στοιχεία 2023/C/1188 ανακοίνωση της Ευρωπαϊκής Επιτροπής (ΕΕ) «Τροποποίηση του προσωρινού πλαισίου κρίσης και μετάβαση για τη λήψη μέτρων κρατικής ενίσχυσης με σκοπό τη στήριξη της οικονομίας μετά την επίθεση της Ρωσίας κατά της Ουκρανίας», σε επίπεδο ενιαίας οικονομικής οντότητας. Το ποσό της ενίσχυσης αυξάνεται και καταβάλλεται στους δικαιούχους, σύμφωνα με τα οριζόμενα στην υπό στοιχεία C (2024) 2823 final/26.4.2024 απόφαση της Ευρωπαϊκής Επιτροπής. Κατά τα λοιπά εφαρμόζονται οι κανόνες σώρευσης όπως αποτυπώνονται στην παρ. 59 της ανακοίνωσης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Η επιχορήγηση είναι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Εξαιρούνται της εφαρμογής της παρούσας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Επιχορήγηση: ενίσχυση η οποία χορηγείται σε εκδοτικές επιχειρήσεις που εκδίδουν εφημερίδες και περιοδικά τοπικής, περιφερειακής, καθώς και πανελλήνιας κυκλοφορίας,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Εκδοτική επιχείρηση: η επιχείρηση έκδοσης εφημερίδας ή περιοδικού τοπικής, περιφερειακής, καθώς και πανελλήνιας κυκλοφορίας.</w:t>
      </w:r>
    </w:p>
    <w:p>
      <w:pPr>
        <w:pStyle w:val="MainText"/>
        <w:spacing w:before="120" w:after="0"/>
        <w:rPr>
          <w:lang w:val="el" w:eastAsia="el"/>
        </w:rPr>
      </w:pPr>
      <w:r>
        <w:rPr>
          <w:b/>
          <w:bCs/>
          <w:lang w:val="el" w:eastAsia="el"/>
        </w:rPr>
        <w:t>3.</w:t>
      </w:r>
      <w:r>
        <w:rPr>
          <w:lang w:val="el" w:eastAsia="el"/>
        </w:rPr>
        <w:t xml:space="preserve"> Συγκρινόμενες περίοδοι: Το ημερολογιακό δίμηνο και τα ημερολογιακά τρίμηνα των φορολογικών ετών 2021 και 2022.</w:t>
      </w:r>
    </w:p>
    <w:p>
      <w:pPr>
        <w:pStyle w:val="MainText"/>
        <w:spacing w:before="120" w:after="0"/>
        <w:rPr>
          <w:lang w:val="el" w:eastAsia="el"/>
        </w:rPr>
      </w:pPr>
      <w:r>
        <w:rPr>
          <w:b/>
          <w:bCs/>
          <w:lang w:val="el" w:eastAsia="el"/>
        </w:rPr>
        <w:t>4.</w:t>
      </w:r>
      <w:r>
        <w:rPr>
          <w:lang w:val="el" w:eastAsia="el"/>
        </w:rPr>
        <w:t xml:space="preserve"> Πρακτορείο Διανομής: Η οντότητα που διενεργεί τη διανομή και διακίνηση των εφημερίδων και των περιοδικών.</w:t>
      </w:r>
    </w:p>
    <w:p>
      <w:pPr>
        <w:pStyle w:val="MainText"/>
        <w:spacing w:before="120" w:after="0"/>
        <w:rPr>
          <w:lang w:val="el" w:eastAsia="el"/>
        </w:rPr>
      </w:pPr>
      <w:r>
        <w:rPr>
          <w:b/>
          <w:bCs/>
          <w:lang w:val="el" w:eastAsia="el"/>
        </w:rPr>
        <w:t>5.</w:t>
      </w:r>
      <w:r>
        <w:rPr>
          <w:lang w:val="el" w:eastAsia="el"/>
        </w:rPr>
        <w:t xml:space="preserve"> Τηρούμενα Λογιστικά Αρχεία: Τα ηλεκτρονικά ή φυσικά μέσα, στα οποία περιέχονται πληροφορίες αναγκαίες για την κατάρτιση και τον έλεγχο των χρηματοοικονομικών καταστάσεων. Τα λογιστικά αρχεία περιλαμβάνουν βάσεις πρωτογενών πληροφοριακών δεδομένων, παραστατικά των συναλλαγών και γεγονότων (λογιστικά στοιχεία), και άλλα λογιστικά αρχεία (λογιστικά βιβλία) στα οποία καταχωρούνται δεδομένα των συναλλαγών και γεγονότων.</w:t>
      </w:r>
    </w:p>
    <w:p>
      <w:pPr>
        <w:pStyle w:val="MainText"/>
        <w:spacing w:before="120" w:after="0"/>
        <w:rPr>
          <w:lang w:val="el" w:eastAsia="el"/>
        </w:rPr>
      </w:pPr>
      <w:r>
        <w:rPr>
          <w:b/>
          <w:bCs/>
          <w:lang w:val="el" w:eastAsia="el"/>
        </w:rPr>
        <w:t>6.</w:t>
      </w:r>
      <w:r>
        <w:rPr>
          <w:lang w:val="el" w:eastAsia="el"/>
        </w:rPr>
        <w:t xml:space="preserve"> Μεταφορικό κόστος του διμήνου ή τριμήνου: Το κόστος μεταφοράς με οποιοδήποτε μεταφορικό μέσο (ίδια μέσα πρακτορείου, ίδια μέσα επιχείρησης, μέσα δημοσίας χρήσεως, επιχειρήσεις ταχυμεταφορών, αεροπορικά, σιδηροδρομικά και ακτοπλοϊκά μέσα) των αντιτύπων από το σημείο παραγωγής μέχρι το σημείο διάθεσης προς πώληση, καθώς και το κόστος μεταφοράς των αντιτύπων που επιστρέφονται στον εκδότη και αφορά στο ημερολογιακό δίμηνο και στα ημερολογιακά τρίμηνα των φορολογικών ετών 2021 και 2022. Στην έννοια των λειτουργικών εξόδων των ιδίων μέσων των επιχειρήσεων περιλαμβάνονται τα παραστατικά αγορών - δαπανών για την εν γένει κυκλοφορία τους και τα οποία έχουν καταχωρηθεί εντός της νομίμου προθεσμίας στα τηρούμενα λογιστικά αρχεία (βιβλία).</w:t>
      </w:r>
    </w:p>
    <w:p>
      <w:pPr>
        <w:pStyle w:val="MainText"/>
        <w:spacing w:before="120" w:after="0"/>
        <w:rPr>
          <w:lang w:val="el" w:eastAsia="el"/>
        </w:rPr>
      </w:pPr>
      <w:r>
        <w:rPr>
          <w:b/>
          <w:bCs/>
          <w:lang w:val="el" w:eastAsia="el"/>
        </w:rPr>
        <w:t>7.</w:t>
      </w:r>
      <w:r>
        <w:rPr>
          <w:lang w:val="el" w:eastAsia="el"/>
        </w:rPr>
        <w:t xml:space="preserve"> Κόστος δημοσιογραφικού χάρτου του διμήνου ή τριμήνου: Το κόστος του δημοσιογραφικού χάρτου όπως αυτό υπολογίζεται βάσει των παραστατικών αγοράς των επιχειρήσεων, των παραστατικών εκτυπώσεως, των λοιπών στοιχείων που παρέχουν οι επιχειρήσεις εκτύπωσης, τα οποία έχουν καταχωρηθεί εντός της νομίμου προθεσμίας στα τηρούμενα λογιστικά αρχεία (βιβλία) καθώς και της έκθεσης ορκωτού λογιστή για τις επιχειρήσεις των οποίων οι οικονομικές καταστάσεις ελέγχονται υποχρεωτικά από ορκωτούς ελεγκτές - λογιστές.</w:t>
      </w:r>
    </w:p>
    <w:p>
      <w:pPr>
        <w:pStyle w:val="MainText"/>
        <w:spacing w:before="120" w:after="0"/>
        <w:rPr>
          <w:lang w:val="el" w:eastAsia="el"/>
        </w:rPr>
      </w:pPr>
      <w:r>
        <w:rPr>
          <w:b/>
          <w:bCs/>
          <w:lang w:val="el" w:eastAsia="el"/>
        </w:rPr>
        <w:t>8.</w:t>
      </w:r>
      <w:r>
        <w:rPr>
          <w:lang w:val="el" w:eastAsia="el"/>
        </w:rPr>
        <w:t xml:space="preserve"> Πρόσθετη ενίσχυση: Η ενίσχυση η οποία χορηγείται σε εκδοτικές επιχειρήσεις που εκδίδουν εφημερίδες και περιοδικά τοπικής, περιφερειακής, καθώς και πανελλήνιας κυκλοφορίας, με τους όρους και προϋποθέσεις της παρ. 3 του άρθρου 3, της παρ. 2 του άρθρου 4, της παρ. 8 του άρθρου 5 της παρ. 4 του άρθρου 6, της παρ. 6 του άρθρου 11 και του άρθρου 12.</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9.</w:t>
      </w:r>
      <w:r>
        <w:rPr>
          <w:lang w:val="el" w:eastAsia="el"/>
        </w:rPr>
        <w:t xml:space="preserve"> Αρχική ενίσχυση: κάθε ενίσχυση εκτός από την πρόσθετη ενίσχυση, η οποία χορηγήθηκε σε εκδοτικές επιχειρήσεις που εκδίδουν εφημερίδες και περιοδικά τοπικής, περιφερειακής, καθώς και πανελλήνιας κυκλοφορίας, με τους όρους και προϋποθέσεις της παρούσας.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10.</w:t>
      </w:r>
      <w:r>
        <w:rPr>
          <w:lang w:val="el" w:eastAsia="el"/>
        </w:rPr>
        <w:t xml:space="preserve"> Ενιαία οικονομική οντότητα: Ως «ενιαία οικονομική οντότητα» θεωρούνται για τους σκοπούς της παρούσας οι συνδεδεμένες επιχειρήσεις, σύμφωνα με την έννοια της παρ. 3 του άρθρου 3 του Κανονισμού (ΕΕ) 651/2014, ήτοι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οικονομική οντότητα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 εφόσον ασκούν το σύνολο ή τμήμα των δραστηριοτήτων τους στην ίδια αγορά ή σε όμορες αγορές.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11.</w:t>
      </w:r>
      <w:r>
        <w:rPr>
          <w:lang w:val="el" w:eastAsia="el"/>
        </w:rPr>
        <w:t xml:space="preserve"> Απορροφώσα επιχείρηση: Ως απορροφώσα επιχείρηση θεωρείται για τους σκοπούς της παρούσας, η επιχείρηση για την οποία την 15.3.2024 έχει καταχωρηθεί στο ΓΕΜΗ ανακοίνωση της απορρόφησης, με οποιαδήποτε διάταξη νόμου, επιχειρήσεων που έλαβαν την αρχική ενίσχυση και πληρούν τις προϋποθέσεις της παρ. 1 του άρθρου 3 της παρούσας.</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Δικαιούχοι λήπτες της ενίσχυσης είναι οι επιχειρήσεις/οντότητες που έχουν κύριο ή δευτερεύοντα Κωδικό Αριθμό Δραστηριότητας (ΚΑΔ) κατά την 31η/12/2021 έναν από τους περιγραφόμενους στο Παράρτημα Ι, το οποίο αποτελεί αναπόσπαστο μέρος της παρούσας και οι οποίες υπόκεινται στις διατάξεις του άρθρου 1 του ν. 4308/2014 (Α' 251), ανεξαρτήτως κατηγορίας τηρούμενων βιβλίων.</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επιπλέον σωρευτικά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και λειτουργούν νομίμως.</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υποβολής αυτών, ως εξής:</w:t>
      </w:r>
    </w:p>
    <w:p>
      <w:pPr>
        <w:pStyle w:val="StructureList1"/>
        <w:spacing w:before="120" w:after="0"/>
        <w:rPr>
          <w:lang w:val="el" w:eastAsia="el"/>
        </w:rPr>
      </w:pPr>
      <w:r>
        <w:rPr>
          <w:lang w:val="el" w:eastAsia="el"/>
        </w:rPr>
        <w:t>βα)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προηγούμενο φορολογικό έτος,</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δηλώσεις Φ.Π.Α. για το 2021 και μέχρι την 31η Μαρτίου 2022.</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2022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και</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υπό στοιχεία ΓΓΔΕ ΠΟΛ.1200/2015 απόφαση (εξαφανισμένος έμπορος), όπως αυτό προκύπτει από το φορολογικό Μητρώο της Α.Α.Δ.Ε.</w:t>
      </w:r>
    </w:p>
    <w:p>
      <w:pPr>
        <w:pStyle w:val="MainText"/>
        <w:spacing w:before="120" w:after="0"/>
        <w:rPr>
          <w:lang w:val="el" w:eastAsia="el"/>
        </w:rPr>
      </w:pPr>
      <w:r>
        <w:rPr>
          <w:b/>
          <w:bCs/>
          <w:lang w:val="el" w:eastAsia="el"/>
        </w:rPr>
        <w:t>3.</w:t>
      </w:r>
      <w:r>
        <w:rPr>
          <w:lang w:val="el" w:eastAsia="el"/>
        </w:rPr>
        <w:t xml:space="preserve"> Δικαιούχοι της πρόσθετης ενίσχυσης είναι οι επιχειρήσεις που έχουν λάβει την αρχική ενίσχυση ή έχουν απορροφήσει επιχειρήσεις που έχουν λάβει την αρχική ενίσχυση και την 15.3.2024 πληρούν επιπλέον σωρευτικά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και λειτουργούν νομίμως.</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υποβολής αυτών, ως εξής:</w:t>
      </w:r>
    </w:p>
    <w:p>
      <w:pPr>
        <w:pStyle w:val="StructureList1"/>
        <w:spacing w:before="120" w:after="0"/>
        <w:rPr>
          <w:lang w:val="el" w:eastAsia="el"/>
        </w:rPr>
      </w:pPr>
      <w:r>
        <w:rPr>
          <w:lang w:val="el" w:eastAsia="el"/>
        </w:rPr>
        <w:t>βα)</w:t>
      </w:r>
      <w:r>
        <w:rPr>
          <w:lang w:val="en" w:eastAsia="en"/>
        </w:rPr>
        <w:tab/>
      </w:r>
      <w:r>
        <w:rPr>
          <w:lang w:val="el" w:eastAsia="el"/>
        </w:rPr>
        <w:t>Μέχρι και την 15.3.2024 έχουν υποβάλει δήλωση φορολογίας εισοδήματος για το προηγούμενο φορολογικό έτος,</w:t>
      </w:r>
    </w:p>
    <w:p>
      <w:pPr>
        <w:pStyle w:val="StructureList1"/>
        <w:spacing w:before="120" w:after="0"/>
        <w:rPr>
          <w:lang w:val="el" w:eastAsia="el"/>
        </w:rPr>
      </w:pPr>
      <w:r>
        <w:rPr>
          <w:lang w:val="el" w:eastAsia="el"/>
        </w:rPr>
        <w:t>ββ)</w:t>
      </w:r>
      <w:r>
        <w:rPr>
          <w:lang w:val="en" w:eastAsia="en"/>
        </w:rPr>
        <w:tab/>
      </w:r>
      <w:r>
        <w:rPr>
          <w:lang w:val="el" w:eastAsia="el"/>
        </w:rPr>
        <w:t>μέχρι και την 15.3.2024 έχουν υποβάλει δηλώσεις Φ.Π.Α. για το έτος 2023 και μέχρι την 31η Μαρτίου για το έτος 2024.</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2024 μέχρι και την ημερομηνία ελέγχου πληρωμής της πρόσθετης ενίσχυσης,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της πρόσθετης ενίσχυσης, η χρήση του Α.Φ.Μ. της επιχείρησης για τη διενέργεια ενδοκοινοτικών συναλλαγών σύμφωνα με την υπό στοιχεία ΠΟΛ.1200/2015 απόφαση της ΓΓΔΕ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Έχουν πιστοποιηθεί μέχρι την προτεραία της αίτησής τους στο ηλεκτρονικό Μητρώο Εντύπου Τύπου που τηρείται στη Διεύθυνση Εποπτείας Μέσων Ενημέρωσης της Γενικής Γραμματείας Επικοινωνίας και Ενημέρωσης της Προεδρίας της Κυβέρνησης.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ανά τρίμηνο προσδιορίζεται τυποποιημένα, ως ακολούθως: Ενίσχυση = Μεταφορικό Κόστος εκάστου διμήνου ή τριμήνου φορολογικού έτους 2022, με μέγιστο ποσό επιχορήγησης το μεταφορικό κόστος του αντίστοιχου διμήνου ή τριμήνου φορολογικού έτους 2021 + Κόστος Δημοσιογραφικού Χάρτου εκάστου διμήνου ή τριμήνου φορολογικού έτους 2022, με μέγιστο ποσό επιχορήγησης το πενήντα τοις εκατό (50%) του επιπλέον κόστους δημοσιογραφικού χάρτου σε σχέση με το κόστος του αντίστοιχου διμήνου ή τριμήνου φορολογικού έτους 2021.</w:t>
      </w:r>
    </w:p>
    <w:p>
      <w:pPr>
        <w:pStyle w:val="MainText"/>
        <w:spacing w:before="120" w:after="0"/>
        <w:rPr>
          <w:lang w:val="el" w:eastAsia="el"/>
        </w:rPr>
      </w:pPr>
      <w:r>
        <w:rPr>
          <w:b/>
          <w:bCs/>
          <w:lang w:val="el" w:eastAsia="el"/>
        </w:rPr>
        <w:t>2.</w:t>
      </w:r>
      <w:r>
        <w:rPr>
          <w:lang w:val="el" w:eastAsia="el"/>
        </w:rPr>
        <w:t xml:space="preserve"> Με την επιφύλαξη, μη υπέρβασης των ορίων σώρευσης της παρ. 5 του άρθρου 1 της παρούσας, το ύψος της πρόσθετης ενίσχυσης ισούται με το ποσοστό πενήντα τοις εκατό (50%) του Κόστους Δημοσιογραφικού Χάρτου επιπλέον του επιπλέον Κόστους Δημοσιογραφικού Χάρτου που έχει χορηγηθεί στο πλαίσιο της αρχικής ενίσχυσης.</w:t>
      </w:r>
    </w:p>
    <w:p>
      <w:pPr>
        <w:spacing w:before="240" w:after="240"/>
        <w:rPr>
          <w:lang w:val="el" w:eastAsia="el"/>
        </w:rPr>
      </w:pPr>
      <w:r>
        <w:rPr>
          <w:lang w:val="el" w:eastAsia="el"/>
        </w:rPr>
        <w:t>Σε περίπτωση υπέρβασης των ορίων σώρευσης, το ποσό της ενίσχυσης απομειώνεται έως του ποσού που δεν τίθεται ζήτημα υπέρβασης. Σε περίπτωση υπέρβασης του ορίου σώρευσης από περισσότερες επιχειρήσεις που συνιστούν ενιαία οικονομική οντότητα, το ποσό της ενίσχυσης μειώνεται αναλογικά προς το αιτούμενο ποσό της ενίσχυσης εκάστης.</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αίτησης, υποβολής λοιπών προσδιοριστικών στοιχείων περί του ύψους της δαπάνης, διασταύρωση και εκκαθάριση αυτής.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στην ψηφιακή πλατφόρμα myBusinessSupport αίτηση για τη χορήγηση της ως άνω ενίσχυσης μέχρι και την 10η ημέρα του τρίτου μήνα από τη λήξη εκάστου ημερολογιακού διμήνου ή τριμήνου.</w:t>
      </w:r>
    </w:p>
    <w:p>
      <w:pPr>
        <w:spacing w:before="240" w:after="240"/>
        <w:rPr>
          <w:lang w:val="el" w:eastAsia="el"/>
        </w:rPr>
      </w:pPr>
      <w:r>
        <w:rPr>
          <w:lang w:val="el" w:eastAsia="el"/>
        </w:rPr>
        <w:t>Ειδικά, κατά την πρώτη εφαρμογή της παρούσας, η προθεσμία για την υποβολή της αίτησης του πρώτου διμήνου και του δεύτερου ημερολογιακού τριμήνου 2022 ορίζεται η 30η Σεπτεμβρίου 2022. Για το τρίτο και τέταρτο τρίμηνο η αίτηση υποβάλλεται μέχρι και την 16η Δεκεμβρίου 2022 και 28η Φεβρουαρίου 2023 αντίστοιχα.</w:t>
      </w:r>
    </w:p>
    <w:p>
      <w:pPr>
        <w:spacing w:before="240" w:after="240"/>
        <w:rPr>
          <w:lang w:val="el" w:eastAsia="el"/>
        </w:rPr>
      </w:pPr>
      <w:r>
        <w:rPr>
          <w:lang w:val="el" w:eastAsia="el"/>
        </w:rPr>
        <w:t>Εξαιρετικά, κατά την υποβολή της αίτησης για το τρίτο τρίμηνο του 2022, για τη χορήγηση της ως άνω ενίσχυσης, η αιτούσα επιχείρηση δύναται να υποβάλλει αναδρομικά, ήτοι μέχρι και τη 16η Δεκεμβρίου, την αίτηση, καθώς και τα απαραίτητα παραστατικά των προηγούμενων διμήνου ή τριμήνου.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Πρακτορείο Διανομής, για τους εκδότες πανελλήνιας κυκλοφορίας, υποβάλλει ηλεκτρονικό αρχείο για κάθε ημερολογιακό δίμηνο ή τρίμηνο του 2022 καθώς και για το αντίστοιχο δίμηνο ή τρίμηνο του έτους 2021, για όλες τις ενδιαφερόμενες εκδοτικές επιχειρήσεις, το οποίο περιλαμβάνει κατάσταση παραστατικών βάσει των οποίων προκύπτει το μεταφορικό κόστος για κάθε δικαιούχο. Η εν λόγω κατάσταση περιλαμβάνει τα ακόλουθα δεδομένα:</w:t>
      </w:r>
    </w:p>
    <w:p>
      <w:pPr>
        <w:spacing w:before="240" w:after="240"/>
        <w:rPr>
          <w:lang w:val="el" w:eastAsia="el"/>
        </w:rPr>
      </w:pPr>
      <w:r>
        <w:rPr>
          <w:lang w:val="el" w:eastAsia="el"/>
        </w:rPr>
        <w:t>α. ΑΦΜ της εκδοτικής επιχείρησης</w:t>
      </w:r>
    </w:p>
    <w:p>
      <w:pPr>
        <w:spacing w:before="240" w:after="240"/>
        <w:rPr>
          <w:lang w:val="el" w:eastAsia="el"/>
        </w:rPr>
      </w:pPr>
      <w:r>
        <w:rPr>
          <w:lang w:val="el" w:eastAsia="el"/>
        </w:rPr>
        <w:t>β. είδος παραστατικού</w:t>
      </w:r>
    </w:p>
    <w:p>
      <w:pPr>
        <w:spacing w:before="240" w:after="240"/>
        <w:rPr>
          <w:lang w:val="el" w:eastAsia="el"/>
        </w:rPr>
      </w:pPr>
      <w:r>
        <w:rPr>
          <w:lang w:val="el" w:eastAsia="el"/>
        </w:rPr>
        <w:t>γ. αύξοντα αριθμός παραστατικού</w:t>
      </w:r>
    </w:p>
    <w:p>
      <w:pPr>
        <w:spacing w:before="240" w:after="240"/>
        <w:rPr>
          <w:lang w:val="el" w:eastAsia="el"/>
        </w:rPr>
      </w:pPr>
      <w:r>
        <w:rPr>
          <w:lang w:val="el" w:eastAsia="el"/>
        </w:rPr>
        <w:t>δ. ημερομηνία έκδοσης</w:t>
      </w:r>
    </w:p>
    <w:p>
      <w:pPr>
        <w:spacing w:before="240" w:after="240"/>
        <w:rPr>
          <w:lang w:val="el" w:eastAsia="el"/>
        </w:rPr>
      </w:pPr>
      <w:r>
        <w:rPr>
          <w:lang w:val="el" w:eastAsia="el"/>
        </w:rPr>
        <w:t>ε. συνολική αξία</w:t>
      </w:r>
    </w:p>
    <w:p>
      <w:pPr>
        <w:spacing w:before="240" w:after="240"/>
        <w:rPr>
          <w:lang w:val="el" w:eastAsia="el"/>
        </w:rPr>
      </w:pPr>
      <w:r>
        <w:rPr>
          <w:lang w:val="el" w:eastAsia="el"/>
        </w:rPr>
        <w:t>Όμοια κατάσταση, για το μεταφορικό κόστος υποβάλλεται από την αιτούσα επιχείρηση - εκδότη τοπικής ή περιφερειακής ή πανελλήνιας κυκλοφορίας μέσω της πλατφόρμας myBusinessSupport, για διανομές που λαμβάνουν χώρα με μεταφορικά μέσα πλην αυτών του Πρακτορείου Διανομής.</w:t>
      </w:r>
    </w:p>
    <w:p>
      <w:pPr>
        <w:pStyle w:val="MainText"/>
        <w:spacing w:before="120" w:after="0"/>
        <w:rPr>
          <w:lang w:val="el" w:eastAsia="el"/>
        </w:rPr>
      </w:pPr>
      <w:r>
        <w:rPr>
          <w:b/>
          <w:bCs/>
          <w:lang w:val="el" w:eastAsia="el"/>
        </w:rPr>
        <w:t>3.</w:t>
      </w:r>
      <w:r>
        <w:rPr>
          <w:lang w:val="el" w:eastAsia="el"/>
        </w:rPr>
        <w:t xml:space="preserve"> Η αιτούσα εκδοτική επιχείρηση πιστοποιεί την ακρίβεια των δηλούμενων στοιχείων από το Πρακτορείο Διανομής, προς τον σκοπό προσδιορισμού του τελικού ύψους ενίσχυσης. Σε περίπτωση διαφωνίας με τα δηλωθέντα δεδομένα από το Πρακτορείο Διανομής, η ενδιαφερόμενη επιχείρηση δύναται να καταθέσει αίτημα επανεξέτασης.</w:t>
      </w:r>
    </w:p>
    <w:p>
      <w:pPr>
        <w:pStyle w:val="MainText"/>
        <w:spacing w:before="120" w:after="0"/>
        <w:rPr>
          <w:lang w:val="el" w:eastAsia="el"/>
        </w:rPr>
      </w:pPr>
      <w:r>
        <w:rPr>
          <w:b/>
          <w:bCs/>
          <w:lang w:val="el" w:eastAsia="el"/>
        </w:rPr>
        <w:t>4.</w:t>
      </w:r>
      <w:r>
        <w:rPr>
          <w:lang w:val="el" w:eastAsia="el"/>
        </w:rPr>
        <w:t xml:space="preserve"> Το μεταφορικό κόστος κάθε διμήνου ή τριμήνου οριστικοποιείται μετά την εκκαθάριση που πραγματοποιεί το Πρακτορείο Διανομής και προκύπτει από την κατάσταση των παραστατικών που έχουν εκδοθεί κατ' εφαρμογή των διατάξεων του ν.4308/2014 από το Πρακτορείο Διανομής για κάθε μία εκδοτική επιχείρηση, ανά δίμηνο ή τρίμηνο.</w:t>
      </w:r>
    </w:p>
    <w:p>
      <w:pPr>
        <w:spacing w:before="240" w:after="240"/>
        <w:rPr>
          <w:lang w:val="el" w:eastAsia="el"/>
        </w:rPr>
      </w:pPr>
      <w:r>
        <w:rPr>
          <w:lang w:val="el" w:eastAsia="el"/>
        </w:rPr>
        <w:t>Για τις εκδοτικές επιχειρήσεις που χρησιμοποιούν και άλλα μέσα πλην αυτών του Πρακτορείου Διανομής το μεταφορικό κόστος οριστικοποιείται με την υποβολή των δεδομένων των σχετικών παραστατικών στην πλατφόρμα myBusinessSupport (για τα αντίστοιχα, κατά περίπτωση, δίμηνα ή τρίμηνα ετών 2021 και 2022).</w:t>
      </w:r>
    </w:p>
    <w:p>
      <w:pPr>
        <w:spacing w:before="240" w:after="240"/>
        <w:rPr>
          <w:lang w:val="el" w:eastAsia="el"/>
        </w:rPr>
      </w:pPr>
      <w:r>
        <w:rPr>
          <w:lang w:val="el" w:eastAsia="el"/>
        </w:rPr>
        <w:t>Για τις εκδοτικές επιχειρήσεις που χρησιμοποιούν άλλα μέσα πλην του Πρακτορείου Διανομής, το μεταφορικό κόστος οριστικοποιείται με την υποβολή των καταστάσεων- (αναλυτικές γραμμές) των σχετικών παραστατικών στην πλατφόρμα myBusinessSupport.</w:t>
      </w:r>
    </w:p>
    <w:p>
      <w:pPr>
        <w:pStyle w:val="MainText"/>
        <w:spacing w:before="120" w:after="0"/>
        <w:rPr>
          <w:lang w:val="el" w:eastAsia="el"/>
        </w:rPr>
      </w:pPr>
      <w:r>
        <w:rPr>
          <w:b/>
          <w:bCs/>
          <w:lang w:val="el" w:eastAsia="el"/>
        </w:rPr>
        <w:t>5.</w:t>
      </w:r>
      <w:r>
        <w:rPr>
          <w:lang w:val="el" w:eastAsia="el"/>
        </w:rPr>
        <w:t xml:space="preserve"> Όμοιες καταστάσεις με αυτή της παρ. 2 του παρόντος άρθρου καταχωρούνται από την αιτούσα επιχείρηση -εκδότη τοπικής ή περιφερειακής ή πανελλήνιας κυκλοφορίας μέσω στην πλατφόρμα myBusinessSupport και για το κόστος δημοσιογραφικού χάρτου, το οποίο οριστικοποιείται με την υποβολή των δεδομένων (του σχετικού διμήνου ή τριμήνου 2021 και 2022) των σχετικών παραστατικών στην πλατφόρμα myBusinessSupport.</w:t>
      </w:r>
    </w:p>
    <w:p>
      <w:pPr>
        <w:pStyle w:val="MainText"/>
        <w:spacing w:before="120" w:after="0"/>
        <w:rPr>
          <w:lang w:val="el" w:eastAsia="el"/>
        </w:rPr>
      </w:pPr>
      <w:r>
        <w:rPr>
          <w:b/>
          <w:bCs/>
          <w:lang w:val="el" w:eastAsia="el"/>
        </w:rPr>
        <w:t>6.</w:t>
      </w:r>
      <w:r>
        <w:rPr>
          <w:lang w:val="el" w:eastAsia="el"/>
        </w:rPr>
        <w:t xml:space="preserve"> Τα αναφερόμενα της παρ. 2 του παρόντος άρθρου δεδομένα αποστέλλονται στην ΑΑΔΕ σε ψηφιακό μέσο ανά περίοδο μετά την οριστική εκκαθάριση, ήτοι εντός δέκα ημερών από το τέλος της προθεσμίας υποβολής της αίτησης. Η γραμμογράφηση του αρχείου, ο τύπος και υπόδειγμα αυτού αναρτάται στον δικτυακό τόπο της ΑΑΔΕ www.aade.gr. Σε περίπτωση εκ νέου εκκαθάρισης των υποβαλλόμενων στοιχείων, τα οποία υποβάλλονται άπαξ και μέχρι το τέλος του επόμενου τετραμήνου από το πέρας του διμήνου αποστολής των στοιχείων, από τα οποία προκύπτει ποσό προς επιστροφή στο Δημόσιο, το εν λόγω ποσό επιστρέφεται σε έξι (6) άτοκες μηνιαίες δόσεις κατά τα οριζόμενα στο άρθρο 8 της παρούσης.</w:t>
      </w:r>
    </w:p>
    <w:p>
      <w:pPr>
        <w:pStyle w:val="MainText"/>
        <w:spacing w:before="120" w:after="0"/>
        <w:rPr>
          <w:lang w:val="el" w:eastAsia="el"/>
        </w:rPr>
      </w:pPr>
      <w:r>
        <w:rPr>
          <w:b/>
          <w:bCs/>
          <w:lang w:val="el" w:eastAsia="el"/>
        </w:rPr>
        <w:t>7.</w:t>
      </w:r>
      <w:r>
        <w:rPr>
          <w:lang w:val="el" w:eastAsia="el"/>
        </w:rPr>
        <w:t xml:space="preserve"> Εξαιρετικά, για τη χορήγηση της ως άνω ενίσχυσης που αφορά το ημερολογιακό έτος 2022, θεωρείται εμπρόθεσμη η υποβολή νέων αιτήσεων από επιχειρήσεις οι οποίες είτε δεν είχαν υποβάλει τις σχετικές αιτήσεις είτε αυτές είχαν απορριφθεί, εφόσον υποβληθούν εντός του χρονικού διαστήματος από την 24η Απριλίου έως και την 30η Απριλίου 2023.</w:t>
      </w:r>
    </w:p>
    <w:p>
      <w:pPr>
        <w:spacing w:before="240" w:after="240"/>
        <w:rPr>
          <w:lang w:val="el" w:eastAsia="el"/>
        </w:rPr>
      </w:pPr>
      <w:r>
        <w:rPr>
          <w:lang w:val="el" w:eastAsia="el"/>
        </w:rPr>
        <w:t>Δεν θα χορηγηθούν οικονομικές ενισχύσεις στους δικαιούχους του προηγούμενου εδαφίου πριν από την απόφαση έγκρισης της Ευρωπαϊκής Επιτροπής.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Για την χορήγηση της πρόσθετης ενίσχυσης, οι ενδιαφερόμενες επιχειρήσεις υποβάλλουν στην ψηφιακή πλατφόρμα myBusinessSuppοrt αίτηση για τη χορήγηση της ως άνω ενίσχυσης από την 10η Ιουνίου 2024 μέχρι και την 20η Ιουνίου 2024. Η αιτούσα επιχείρηση δηλώνει τις επιχειρήσεις που απορρόφησε καθώς και τις επιχειρήσεις με τις οποίες συνιστά ενιαία οικονομική οντότητα και τις ενισχύσεις που αυτές έχουν λάβει δυνάμει καθεστώτων που στηρίζονται στο Τμήμα 2.1 της υπό στοιχεία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και της υπό στοιχεία 2023/6 101/03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υποβάλλοντας υπεύθυνη δήλωση σύμφωνα με το πρότυπο που προσαρτάται ως Παράρτημα της παρούσας.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w:t>
      </w:r>
    </w:p>
    <w:p>
      <w:pPr>
        <w:pStyle w:val="MainText"/>
        <w:spacing w:before="120" w:after="0"/>
        <w:rPr>
          <w:lang w:val="el" w:eastAsia="el"/>
        </w:rPr>
      </w:pPr>
      <w:r>
        <w:rPr>
          <w:b/>
          <w:bCs/>
          <w:lang w:val="el" w:eastAsia="el"/>
        </w:rPr>
        <w:t>2.</w:t>
      </w:r>
      <w:r>
        <w:rPr>
          <w:lang w:val="el" w:eastAsia="el"/>
        </w:rPr>
        <w:t xml:space="preserve"> Το ποσό της ενίσχυσης καταβάλλεται εφάπαξ στον λογαριασμό ΙΒΑΝ της δικαιούχου επιχείρησης που δηλώνεται στην ψηφιακή πύλη myAADE στην επιλογή Μητρώο και Επικοινωνία/Δήλωση Λογαριασμού ΙΒΑΝ.</w:t>
      </w:r>
    </w:p>
    <w:p>
      <w:pPr>
        <w:pStyle w:val="MainText"/>
        <w:spacing w:before="120" w:after="0"/>
        <w:rPr>
          <w:lang w:val="el" w:eastAsia="el"/>
        </w:rPr>
      </w:pPr>
      <w:r>
        <w:rPr>
          <w:b/>
          <w:bCs/>
          <w:lang w:val="el" w:eastAsia="el"/>
        </w:rPr>
        <w:t>3.</w:t>
      </w:r>
      <w:r>
        <w:rPr>
          <w:lang w:val="el" w:eastAsia="el"/>
        </w:rPr>
        <w:t xml:space="preserve"> Η ΑΑΔΕ δύναται κατά την επεξεργασία του αιτήματος των εκδοτικών επιχειρήσεων να διασταυρώνει τα στοιχεία και με άλλα στοιχεία που έχει στη διάθεσή της καθώς και να προβαίνει σε ελέγχους πριν την πληρωμή.</w:t>
      </w:r>
    </w:p>
    <w:p>
      <w:pPr>
        <w:pStyle w:val="MainText"/>
        <w:spacing w:before="120" w:after="0"/>
        <w:rPr>
          <w:lang w:val="el" w:eastAsia="el"/>
        </w:rPr>
      </w:pPr>
      <w:r>
        <w:rPr>
          <w:b/>
          <w:bCs/>
          <w:lang w:val="el" w:eastAsia="el"/>
        </w:rPr>
        <w:t>4.</w:t>
      </w:r>
      <w:r>
        <w:rPr>
          <w:lang w:val="el" w:eastAsia="el"/>
        </w:rPr>
        <w:t xml:space="preserve"> Η αιτούσα επιχείρηση ενημερώνεται από την ΑΑΔΕ αναφορικά με την έγκριση ή απόρριψη της αίτησής της για χορήγηση της πρόσθετης ενίσχυσης έως την 25η Ιουνίου 2024. Κατά τα λοιπά, οι διατάξεις των παρ. 1 έως και 3 εφαρμόζονται αναλόγως και σε σχέση με την χορήγηση της πρόσθετης ενίσχυσης. Η πρόσθετη ενίσχυση χορηγείται μέχρι την 30η Ιουνίου 2024 σύμφωνα με την παρ. 61 περ. γ' της ανακοίνωσης της Επιτροπής.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lang w:val="el" w:eastAsia="el"/>
        </w:rPr>
        <w:t xml:space="preserve"> Για τις ενισχύσεις προς επιχειρήσεις/οντότητες του άρθρου 3 της παρούσας αποστέλλονται από την ΑΑΔΕ στη ΓΔΟΥ του Υπουργείου Οικονομικών οι τελικές καταστάσεις του άρθρου 5 της παρούσας, στις οποίες αναγράφονται κατ' ελάχιστον, η επωνυμία του δικαιούχου, o Αριθμός Φορολογικού Μητρώου (ΑΦΜ), ο αριθμός τραπεζικού λογαριασμού του δικαιούχου, το πιστωτικό ίδρυμα, στο οποίο ανήκει, καθώς και το πληρωτέο ποσό. Η ΓΔΟΥ βάσει των καταστάσεων μεταφέρει μέσω του epde το συνολικό ποσό από το έργο που είναι ενταγμένο στη ΣΑΕ 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απευθείας μεταφορά χωρίς υπόλογο.</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Νο200 «Ελληνικό Δημόσιο -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pStyle w:val="MainText"/>
        <w:spacing w:before="120" w:after="0"/>
        <w:rPr>
          <w:lang w:val="el" w:eastAsia="el"/>
        </w:rPr>
      </w:pPr>
      <w:r>
        <w:rPr>
          <w:b/>
          <w:bCs/>
          <w:lang w:val="el" w:eastAsia="el"/>
        </w:rPr>
        <w:t>3.</w:t>
      </w:r>
      <w:r>
        <w:rPr>
          <w:lang w:val="el" w:eastAsia="el"/>
        </w:rPr>
        <w:t xml:space="preserve"> 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τους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pStyle w:val="MainText"/>
        <w:spacing w:before="120" w:after="0"/>
        <w:rPr>
          <w:lang w:val="el" w:eastAsia="el"/>
        </w:rPr>
      </w:pPr>
      <w:r>
        <w:rPr>
          <w:b/>
          <w:bCs/>
          <w:lang w:val="el" w:eastAsia="el"/>
        </w:rPr>
        <w:t>4.</w:t>
      </w:r>
      <w:r>
        <w:rPr>
          <w:lang w:val="el" w:eastAsia="el"/>
        </w:rPr>
        <w:t xml:space="preserve"> Η αναλυτική κατάσταση των επιχειρήσεων της παρ. 1 του άρθρου 5 αποστέλλεται από την ΑΑΔΕ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pStyle w:val="MainText"/>
        <w:spacing w:before="120" w:after="0"/>
        <w:rPr>
          <w:lang w:val="el" w:eastAsia="el"/>
        </w:rPr>
      </w:pPr>
      <w:r>
        <w:rPr>
          <w:b/>
          <w:bCs/>
          <w:lang w:val="el" w:eastAsia="el"/>
        </w:rPr>
        <w:t>5.</w:t>
      </w:r>
      <w:r>
        <w:rPr>
          <w:lang w:val="el" w:eastAsia="el"/>
        </w:rPr>
        <w:t xml:space="preserve"> 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Ελληνικού Δημοσίου με IBAN GR GR30 0100 0230 0000 0000 0002 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λογαριασμό ΙΒΑΝ στην ψηφιακή πύλη myAADE στην επιλογή Μητρώο &amp; Επικοινωνία/Δήλωση Λογαριασμού ΙΒΑΝ,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7.</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 051/2,</w:t>
      </w:r>
    </w:p>
    <w:p>
      <w:pPr>
        <w:pStyle w:val="StructureList1"/>
        <w:spacing w:before="120" w:after="0"/>
        <w:rPr>
          <w:lang w:val="el" w:eastAsia="el"/>
        </w:rPr>
      </w:pPr>
      <w:r>
        <w:rPr>
          <w:lang w:val="el" w:eastAsia="el"/>
        </w:rPr>
        <w:t>γ)</w:t>
      </w:r>
      <w:r>
        <w:rPr>
          <w:lang w:val="en" w:eastAsia="en"/>
        </w:rPr>
        <w:tab/>
      </w:r>
      <w:r>
        <w:rPr>
          <w:lang w:val="el" w:eastAsia="el"/>
        </w:rPr>
        <w:t>η σχετική εντολή πληρωμής,</w:t>
      </w:r>
    </w:p>
    <w:p>
      <w:pPr>
        <w:pStyle w:val="StructureList1"/>
        <w:spacing w:before="120" w:after="0"/>
        <w:rPr>
          <w:lang w:val="el" w:eastAsia="el"/>
        </w:rPr>
      </w:pPr>
      <w:r>
        <w:rPr>
          <w:lang w:val="el" w:eastAsia="el"/>
        </w:rPr>
        <w:t>δ)</w:t>
      </w:r>
      <w:r>
        <w:rPr>
          <w:lang w:val="en" w:eastAsia="en"/>
        </w:rPr>
        <w:tab/>
      </w:r>
      <w:r>
        <w:rPr>
          <w:lang w:val="el" w:eastAsia="el"/>
        </w:rPr>
        <w:t>η συγκεντρωτική κατάσταση της πρώτης παραγράφου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το αποδεικτικό της ηλεκτρονικής εντολής πληρωμής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και προϋποθέσεις επιστροφής της ενίσχυσης</w:t>
      </w:r>
    </w:p>
    <w:p>
      <w:pPr>
        <w:pStyle w:val="MainText"/>
        <w:spacing w:before="120" w:after="0"/>
        <w:rPr>
          <w:lang w:val="el" w:eastAsia="el"/>
        </w:rPr>
      </w:pPr>
      <w:r>
        <w:rPr>
          <w:b/>
          <w:bCs/>
          <w:lang w:val="el" w:eastAsia="el"/>
        </w:rPr>
        <w:t>1.</w:t>
      </w:r>
      <w:r>
        <w:rPr>
          <w:lang w:val="el" w:eastAsia="el"/>
        </w:rPr>
        <w:t xml:space="preserve"> Το ποσό της ενίσχυσης που επιστρέφεται εμφανίζεται με τις τυχόν λοιπές οφειλές της επιχείρησης στην ψηφιακή πύλη myAADE στην επιλογή «Ο Λογαριασμός μου».</w:t>
      </w:r>
    </w:p>
    <w:p>
      <w:pPr>
        <w:pStyle w:val="MainText"/>
        <w:spacing w:before="120" w:after="0"/>
        <w:rPr>
          <w:lang w:val="el" w:eastAsia="el"/>
        </w:rPr>
      </w:pPr>
      <w:r>
        <w:rPr>
          <w:b/>
          <w:bCs/>
          <w:lang w:val="el" w:eastAsia="el"/>
        </w:rPr>
        <w:t>2.</w:t>
      </w:r>
      <w:r>
        <w:rPr>
          <w:lang w:val="el" w:eastAsia="el"/>
        </w:rPr>
        <w:t xml:space="preserve"> Το ανωτέρω ποσό βεβαιώνεται ως δημόσιο έσοδο την πρώτη εργάσιμη ημέρα του επόμενου μήνα από την ημερομηνία που προκύπτει η υποχρέωση της επιστροφής και λογιστικοποιείται στα έσοδα του ΠΔΕ σε ειδικούς Αναλυτικούς Λογαριασμούς Εσόδων (ΑΛΕ) που θα δημιουργηθούν για τον σκοπό αυτό.</w:t>
      </w:r>
    </w:p>
    <w:p>
      <w:pPr>
        <w:pStyle w:val="MainText"/>
        <w:spacing w:before="120" w:after="0"/>
        <w:rPr>
          <w:lang w:val="el" w:eastAsia="el"/>
        </w:rPr>
      </w:pPr>
      <w:r>
        <w:rPr>
          <w:b/>
          <w:bCs/>
          <w:lang w:val="el" w:eastAsia="el"/>
        </w:rPr>
        <w:t>3.</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2.</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3.</w:t>
      </w:r>
      <w:r>
        <w:rPr>
          <w:lang w:val="el" w:eastAsia="el"/>
        </w:rPr>
        <w:t xml:space="preserve"> Όλα τα σχετικά δικαιολογητικά και παραστατικά στοιχεία τηρούνται από την επιχείρηση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ακόμα και αν δεν προκύπτει η εν λόγω υποχρέωση διατήρησης των δικαιολογητικών βάσει της εθνικής νομοθεσίας.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87 του Προσωρινού Πλαισίου και στην υποπαρ. στην παρ. ζ' του άρθρου 24 του ν. 5000/2022 (Α' 226).</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Ειδικότερα θέματα χρηματοδότησης ΠΔΕ</w:t>
      </w:r>
    </w:p>
    <w:p>
      <w:pPr>
        <w:pStyle w:val="MainText"/>
        <w:spacing w:before="120" w:after="0"/>
        <w:rPr>
          <w:lang w:val="el" w:eastAsia="el"/>
        </w:rPr>
      </w:pPr>
      <w:r>
        <w:rPr>
          <w:b/>
          <w:bCs/>
          <w:lang w:val="el" w:eastAsia="el"/>
        </w:rPr>
        <w:t>1.</w:t>
      </w:r>
      <w:r>
        <w:rPr>
          <w:lang w:val="el" w:eastAsia="el"/>
        </w:rPr>
        <w:t xml:space="preserve"> Η δράση θα χρηματοδοτηθεί από το συγχρηματοδοτούμενο σκέλος του Προγράμματος Δημοσίων Επενδύσεων (ΠΔΕ) του Υπουργείου Οικονομικών, ΣΑ051/2 και θα ενταχθεί, μετά την ολοκλήρωση των διαχειριστικών ενεργειών, σε Επιχειρησιακό Πρόγραμμα της Προγραμματικής Περιόδου 2014-2020, σύμφωνα με τους οικείους Κανονισμούς και το εθνικό θεσμικό και κανονιστικό πλαίσιο.</w:t>
      </w:r>
    </w:p>
    <w:p>
      <w:pPr>
        <w:pStyle w:val="MainText"/>
        <w:spacing w:before="120" w:after="0"/>
        <w:rPr>
          <w:lang w:val="el" w:eastAsia="el"/>
        </w:rPr>
      </w:pPr>
      <w:r>
        <w:rPr>
          <w:b/>
          <w:bCs/>
          <w:lang w:val="el" w:eastAsia="el"/>
        </w:rPr>
        <w:t>2.</w:t>
      </w:r>
      <w:r>
        <w:rPr>
          <w:lang w:val="el" w:eastAsia="el"/>
        </w:rPr>
        <w:t xml:space="preserve"> Δικαιούχος της δράσης, κατά την έννοια του Κανονισμού (ΕΕ)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από τους οικείους Κανονισμούς και το εθνικό θεσμικό και κανονιστικό πλαίσιο.</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3.</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παρούσα,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 gr) και συγκεκριμένα στον σύνδεσμο https://www.espa.gr/el/Pages/staticAntiFraudPolicy.aspx.</w:t>
      </w:r>
    </w:p>
    <w:p>
      <w:pPr>
        <w:pStyle w:val="MainText"/>
        <w:spacing w:before="120" w:after="0"/>
        <w:rPr>
          <w:lang w:val="el" w:eastAsia="el"/>
        </w:rPr>
      </w:pPr>
      <w:r>
        <w:rPr>
          <w:b/>
          <w:bCs/>
          <w:lang w:val="el" w:eastAsia="el"/>
        </w:rPr>
        <w:t>4.</w:t>
      </w:r>
      <w:r>
        <w:rPr>
          <w:lang w:val="el" w:eastAsia="el"/>
        </w:rPr>
        <w:t xml:space="preserve"> Η ΑΑΔΕ υποχρεούται να θέτει στη διάθεση της ΓΔΟΥ του Υπουργείου Οικονομικών κάθε πληροφορία σχετική με την εφαρμογή της παρούσας απόφασης.</w:t>
      </w:r>
    </w:p>
    <w:p>
      <w:pPr>
        <w:pStyle w:val="MainText"/>
        <w:spacing w:before="120" w:after="0"/>
        <w:rPr>
          <w:lang w:val="el" w:eastAsia="el"/>
        </w:rPr>
      </w:pPr>
      <w:r>
        <w:rPr>
          <w:b/>
          <w:bCs/>
          <w:lang w:val="el" w:eastAsia="el"/>
        </w:rPr>
        <w:t>5.</w:t>
      </w:r>
      <w:r>
        <w:rPr>
          <w:lang w:val="el" w:eastAsia="el"/>
        </w:rPr>
        <w:t xml:space="preserve"> Δεν θα χορηγηθούν οικονομικές ενισχύσεις στους δικαιούχους της παρ. 1 του άρθρου 3 πριν από την απόφαση έγκρισης της Ευρωπαϊκής Επιτροπής.</w:t>
      </w:r>
    </w:p>
    <w:p>
      <w:pPr>
        <w:pStyle w:val="MainText"/>
        <w:spacing w:before="120" w:after="0"/>
        <w:rPr>
          <w:lang w:val="el" w:eastAsia="el"/>
        </w:rPr>
      </w:pPr>
      <w:r>
        <w:rPr>
          <w:b/>
          <w:bCs/>
          <w:lang w:val="el" w:eastAsia="el"/>
        </w:rPr>
        <w:t>6.</w:t>
      </w:r>
      <w:r>
        <w:rPr>
          <w:lang w:val="el" w:eastAsia="el"/>
        </w:rPr>
        <w:t xml:space="preserve"> Η πρόσθετη ενίσχυση θα χρηματοδοτηθεί από το Πρόγραμμα Δημοσίων Επενδύσεων (ΠΔΕ) του Υπουργείου Εθνικής Οικονομίας και Οικονομικών. Η συνολική δαπάνη για την υλοποίηση του προγράμματος χρηματοδότησης δύναται να ανέλθει μέχρι του ποσού των δέκα εκατ. ευρώ (10.000.000).</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Σώρευσης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Για τις επιχειρήσεις που λαμβάνουν την πρόσθετη ενίσχυση σύμφωνα με την παρούσα, το συνολικό ποσό ενισχύσεων που έχουν λάβει, κατά τα ανωτέρω, βάσει οιουδήποτε καθεστώτος δυνάμει του τμήματος 2.1 της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ή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όπως τροποποιήθηκε και ισχύει σύμφωνα με τα οριζόμενα στην παρ. 5 του άρθρου 1, συνυπολογιζόμενης της χορηγούμενης δυνάμει της παρούσας ενίσχυσης, ελέγχεται σε επίπεδο ενιαίας οικονομικής οντότητας, όπως αυτή ορίζεται στην παρ. 10 του άρθρου 2 και δεν δύναται να υπερβαίνει το ποσό των δυο εκατομμυρίων διακοσίων πενήντα χιλιάδων (2.250.000) ευρώ. Σε περίπτωση υπέρβασης το υπερβάλλον ποσό περικόπτεται αναλόγως. Ο έλεγχος της σώρευσης διενεργείται από την Ανεξάρτητη Αρχή Δημοσίων Εσόδων (ΑΑΔΕ) σε πρώτη φάση με βάση τα σχετικά στοιχεία που υποβάλλει η επιχείρηση κατά την αίτηση σύμφωνα με το ΠΑΡΑΡΤΗΜΑ,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Εφαρμογή διατάξεων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spacing w:before="240" w:after="240"/>
        <w:rPr>
          <w:lang w:val="el" w:eastAsia="el"/>
        </w:rPr>
      </w:pPr>
      <w:r>
        <w:rPr>
          <w:lang w:val="el" w:eastAsia="el"/>
        </w:rPr>
        <w:t>Οι διατάξεις της παρ. 6 του άρθρου 1 και των άρθρων 8, 9 και 10 εφαρμόζονται και ως προς την πρόσθετη ενίσχυση.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Υπαγωγή Δικαιούχων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Σε κάθε περίπτωση, η υπαγωγή των δικαιούχων επιχειρήσεων στο πρόγραμμα επιχορήγησης για το έτος 2022 του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ολοκληρώνεται, σύμφωνα με τα οριζόμενα στην παρούσα κοινή υπουργική απόφαση, στις 25-06-2024. Η ΑΑΔΕ αποστέλλει στη Δ/νση Εποπτείας Μέσων Ενημέρωσης της Γενικής Γραμματείας Επικοινωνίας και Ενημέρωσης της Προεδρίας της Κυβέρνησης, προς ενημέρωσή της, Πίνακα υπαγομένων επιχειρήσεων στο ως άνω πρόγραμμα επιχορήγησης το αργότερο έως τις 26-06-2024.</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γενικού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επιχειρηματικού, επαγγελματικού και ακαδημαϊκού περιεχομένου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άλλων έντυπων περιοδικών κάθε είδους</w:t>
            </w:r>
          </w:p>
        </w:tc>
      </w:tr>
    </w:tbl>
    <w:p>
      <w:pPr>
        <w:spacing w:before="240" w:after="240"/>
        <w:rPr>
          <w:lang w:val="el" w:eastAsia="el"/>
        </w:rPr>
      </w:pPr>
      <w:r>
        <w:rPr>
          <w:lang w:val="el" w:eastAsia="el"/>
        </w:rPr>
        <w:t> </w:t>
      </w:r>
    </w:p>
    <w:p>
      <w:pPr>
        <w:spacing w:before="240" w:after="240"/>
        <w:rPr>
          <w:lang w:val="el" w:eastAsia="el"/>
        </w:rPr>
      </w:pPr>
      <w:r>
        <w:rPr>
          <w:lang w:val="el" w:eastAsia="el"/>
        </w:rPr>
        <w:t>Αθήνα, 29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Ο ΥΦΥΠΟΥΡΓΟΣ ΣΤΟΝ ΠΡΩΘΥΠΟΥΡΓΟ</w:t>
      </w:r>
    </w:p>
    <w:p>
      <w:pPr>
        <w:spacing w:before="240" w:after="240"/>
        <w:rPr>
          <w:lang w:val="el" w:eastAsia="el"/>
        </w:rPr>
      </w:pPr>
      <w:r>
        <w:rPr>
          <w:lang w:val="el" w:eastAsia="el"/>
        </w:rPr>
        <w:t xml:space="preserve">ΙΩΑΝΝΗΣ ΟΙΚΟΝΟΜΟΥ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Ε/2498/2024 04.06.2024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Ε/2498/2024 04.06.2024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1182/2022 29.12.2022; Τροποποίηση A. Ε/2498/2024 04.06.2024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Ε/2796/2024 19.06.2024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1053/2023 21.04.2023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 Τροποποίηση A. Ε/2796/2024 19.06.2024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1124/2022 12.09.2022; Τροποποίηση A. 1172/09.12.2022 09.12.2022; Τροποποίηση A. 1182/2022 29.12.2022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1045/2023 03.04.2023; Τροποποίηση A. 1053/2023 21.04.2023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 Τροποποίηση A. Ε/2796/2024 19.06.2024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Ε/2498/2024 04.06.2024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Ε/2498/2024 04.06.2024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