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77446/02-08-2022</w:t>
      </w:r>
    </w:p>
    <w:p>
      <w:pPr>
        <w:pStyle w:val="Title"/>
        <w:spacing w:before="120" w:after="360"/>
        <w:rPr>
          <w:lang w:val="el" w:eastAsia="el"/>
        </w:rPr>
      </w:pPr>
      <w:r>
        <w:rPr>
          <w:lang w:val="el" w:eastAsia="el"/>
        </w:rPr>
        <w:t>Καθορισμός του ποσού, κατά είδος ενισχύσεων, για τα επενδυτικά σχέδια που υπάγονται στο καθεστώς ενισχύσεων «Αγροδιατροφή - πρωτογενής παραγωγή και μεταποίηση γεωργικών προϊόντων - αλιεία και υδατοκαλλιέργεια» του α.ν. 4887/2022, του έτους 2022</w:t>
      </w:r>
    </w:p>
    <w:p>
      <w:pPr>
        <w:pStyle w:val="Title"/>
        <w:spacing w:before="120" w:after="360"/>
        <w:rPr>
          <w:lang w:val="el" w:eastAsia="el"/>
        </w:rPr>
      </w:pPr>
      <w:r>
        <w:rPr>
          <w:b/>
          <w:bCs/>
          <w:lang w:val="el" w:eastAsia="el"/>
        </w:rPr>
        <w:t>Αριθμ. 77446/2022</w:t>
      </w:r>
    </w:p>
    <w:p>
      <w:pPr>
        <w:pStyle w:val="PreambelText"/>
        <w:spacing w:before="240" w:after="240"/>
        <w:rPr>
          <w:lang w:val="el" w:eastAsia="el"/>
        </w:rPr>
      </w:pPr>
      <w:r>
        <w:rPr>
          <w:lang w:val="el" w:eastAsia="el"/>
        </w:rPr>
        <w:t>(ΦΕΚ Β' 4135/03-08-2022)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4887/2022 «Αναπτυξιακός Νόμος - Ελλάδα Ισχυρή Ανάπτυξη» (Α’ 16) και ειδικότερα της παρ. 3 του άρθρου 29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κυβερνητικά όργανα (π.δ. 63/2005, Α’ 98), όπως αυτό διατηρήθηκε σε ισχύ με την παρ. 22 του άρθρου 119 του ν. 4622/2019.</w:t>
      </w:r>
    </w:p>
    <w:p>
      <w:pPr>
        <w:pStyle w:val="PreambelText"/>
        <w:spacing w:before="240" w:after="240"/>
        <w:rPr>
          <w:lang w:val="el" w:eastAsia="el"/>
        </w:rPr>
      </w:pPr>
      <w:r>
        <w:rPr>
          <w:lang w:val="el" w:eastAsia="el"/>
        </w:rPr>
        <w:t>6. Τις διατάξεις του π.δ. 5/2022 «Οργανισμός του Υπουργείου Ανάπτυξης και Επενδύσεων» (Α’ 15).</w:t>
      </w:r>
    </w:p>
    <w:p>
      <w:pPr>
        <w:pStyle w:val="PreambelText"/>
        <w:spacing w:before="240" w:after="240"/>
        <w:rPr>
          <w:lang w:val="el" w:eastAsia="el"/>
        </w:rPr>
      </w:pPr>
      <w:r>
        <w:rPr>
          <w:lang w:val="el" w:eastAsia="el"/>
        </w:rPr>
        <w:t>7.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10.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Την υπό στοιχεία Υ 35/23.09.2021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12. Την υπ’ 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13. Την υπ’ αρ. 63469/21-6-2022 εισήγηση ( περ. ε της παρ. 5 του άρθρου 24 του ν. 4270/2014) του Προϊσταμένου της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14. Το γεγονός ότι από τις διατάξεις της παρούσας απόφασης προκαλείται επιβάρυνση του κρατικού προϋπολογισμού, το ύψος της οποίας αναφέρεται στο άρθρο 3 της παρούσας. Η προκαλούμενη δαπάνη θα αντιμετωπιστεί στο πλαίσιο των υφιστάμενων ορίων του ΜΠΔΣ,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Ποσό φορολογικής απαλλαγής</w:t>
      </w:r>
    </w:p>
    <w:p>
      <w:pPr>
        <w:spacing w:before="240" w:after="240"/>
        <w:rPr>
          <w:lang w:val="el" w:eastAsia="el"/>
        </w:rPr>
      </w:pPr>
      <w:r>
        <w:rPr>
          <w:lang w:val="el" w:eastAsia="el"/>
        </w:rPr>
        <w:t>  </w:t>
      </w:r>
    </w:p>
    <w:p>
      <w:pPr>
        <w:spacing w:before="240" w:after="240"/>
        <w:rPr>
          <w:lang w:val="el" w:eastAsia="el"/>
        </w:rPr>
      </w:pPr>
      <w:r>
        <w:rPr>
          <w:lang w:val="el" w:eastAsia="el"/>
        </w:rPr>
        <w:t>Το συνολικό ποσό της φορολογικής απαλλαγής για το καθεστώς ενίσχυσης «Αγροδιατροφή-Πρωτογενής Παραγωγή και Μεταποίηση Γεωργικών Προϊόντων -Αλιεία-Υδατοκαλλιέργεια» του ν. 4887/2022 (άρθρα 65 έως 71), που προκηρύσσεται το έτος 2022, καθορίζεται στα σαράντα τρία εκατομμύρια πεντακόσιες τριάντα εννέα χιλιάδες εκατόν ογδόντα δύο ευρώ και εξήντα ένα λεπτά (43.539.182,61).</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 </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για το καθεστώς ενίσχυσης «Αγροδιατροφή-Πρωτογενής Παραγωγή και Μεταποίηση Γεωργικών Προϊόντων -Αλιεία-Υδατοκαλλιέργεια» του νόμου 4887/2022 (άρθρα 65 έως 71), που προκηρύσσεται το έτος 2022, καθορίζεται στα εκατόν έξι εκατομμύρια οχτακόσιες είκοσι μια χιλιάδες οχτακόσια εξήντα ένα ευρώ και εβδομήντα επτά λεπτά (106.821.861,77).</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Πηγές Χρηματοδότησης - 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για τα επενδυτικά σχέδια της παρούσας απόφασης καλύπτονται από τον Προϋπολογισμό Δημοσίων Επενδύσεων, στον οποίο εγγράφεται η δαπάνη εκατόν έξι εκατομμύρια οχτακόσιες είκοσι μια χιλιάδες οχτακόσια εξήντα ένα ευρώ και εβδομήντα επτά λεπτά (106.821.861,77) και δύναται να προέλθει από πόρους του Εθνικού Προγράμματος Ανάπτυξης και ειδικά από το Τομεακό Πρόγραμμα Ανάπτυξης του Υπουργείου Ανάπτυξης.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Από τις διατάξεις της παρούσας απόφασης εκτιμάται ότι: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για τα έτη (2025, και 2026) δεν θα προκύψει δαπάνη σε βάρος του Προϋπολογισμού Δημοσίων Επενδύσεων καθώς και απώλεια φορολογικών εσόδων,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για το έτος 2027 θα προκύψει δαπάνη δέκα εκατομμυρίων (10.000.000) ευρώ, σε βάρος του Προϋπολογισμού Δημοσίων Επενδύσεων,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iii. για τα έτη 2028, 2029, 2030 και 2031 θα προκύψει δαπάνη δεκαπέντε εκατομμυρίων ευρώ κατ’ έτος (15.000.000) ευρώ, σε βάρος του Προϋπολογισμού Δημοσίων Επενδύσεων,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iv. Για τα έτη 2032, 2033, και 2034 θα προκύψει κατ’ έτος, δαπάνη δέκα εκατομμυρίων (10.000.000) ευρώ, σε βάρος του Προϋπολογισμού Δημοσίων Επενδύσεων,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v. για το έτος 2035 δαπάνη έξι εκατομμυρίων οχτακοσίων είκοσι μιας χιλιάδων οχτακοσίων εξήντα ενός ευρώ και εβδομήντα επτά λεπτών (6.821.861,77), σε βάρος του Προϋπολογισμού Δημοσίων Επενδύσεων,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vi. για τα έτη 2027 έως και 2036 απώλεια φορολογικών εσόδων ύψους τεσσάρων εκατομμυρίων (4.000.000) ευρώ κατ’ έτος,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vii. για το έτος 2037 απώλεια φορολογικών εσόδων ύψους τριών εκατομμυρίων πεντακοσίων τριάντα εννέα χιλιάδων εκατόν ογδόντα δύο ευρώ και εξήντα ένα λεπτών. (3.539.182,61).</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 Τροποποίηση A. 72228/2025 25.09.2025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 Τροποποίηση A. 72228/2025 25.09.2025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 Τροποποίηση A. 72228/2025 25.09.2025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 Τροποποίηση A. 72228/2025 25.09.2025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 Τροποποίηση A. 72228/2025 25.09.2025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 Τροποποίηση A. 72228/2025 25.09.2025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 Τροποποίηση A. 72228/2025 25.09.2025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 Τροποποίηση A. 72228/2025 25.09.2025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 Τροποποίηση A. 72228/2025 25.09.2025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49555/2025 27.06.2025; Τροποποίηση A. 72228/2025 25.09.2025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