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1360/228321</w:t>
      </w:r>
      <w:r>
        <w:rPr>
          <w:b/>
          <w:bCs/>
          <w:lang w:val="el" w:eastAsia="el"/>
        </w:rPr>
        <w:t>Τροποποίηση της υπ’ αρ. 491/62337/07.05.2019 κοινής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ΑΝΑΠΤΥΞΗΣ ΚΑΙ ΕΠΕΝΔΥΣΕΩΝ - ΕΞΩΤΕΡΙΚΩΝ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 78),</w:t>
      </w:r>
    </w:p>
    <w:p>
      <w:pPr>
        <w:pStyle w:val="StructureList1"/>
        <w:spacing w:before="120" w:after="0"/>
        <w:rPr>
          <w:lang w:val="el" w:eastAsia="el"/>
        </w:rPr>
      </w:pPr>
      <w:r>
        <w:rPr>
          <w:lang w:val="el" w:eastAsia="el"/>
        </w:rPr>
        <w:t>β)</w:t>
      </w:r>
      <w:r>
        <w:rPr>
          <w:lang w:val="en" w:eastAsia="en"/>
        </w:rPr>
        <w:tab/>
      </w:r>
      <w:r>
        <w:rPr>
          <w:lang w:val="el" w:eastAsia="el"/>
        </w:rPr>
        <w:t>Των άρθρων 23, 66, 79 και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2014- 2020.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δ)</w:t>
      </w:r>
      <w:r>
        <w:rPr>
          <w:lang w:val="en" w:eastAsia="en"/>
        </w:rPr>
        <w:tab/>
      </w:r>
      <w:r>
        <w:rPr>
          <w:lang w:val="el" w:eastAsia="el"/>
        </w:rPr>
        <w:t>Tων άρθρων 13 έως 29 του ν. 2637/1998 «Σύσταση Οργανισμού Πιστοποίησης των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w:t>
      </w:r>
    </w:p>
    <w:p>
      <w:pPr>
        <w:pStyle w:val="StructureList1"/>
        <w:spacing w:before="120" w:after="0"/>
        <w:rPr>
          <w:lang w:val="el" w:eastAsia="el"/>
        </w:rPr>
      </w:pPr>
      <w:r>
        <w:rPr>
          <w:lang w:val="el" w:eastAsia="el"/>
        </w:rPr>
        <w:t>ε)</w:t>
      </w:r>
      <w:r>
        <w:rPr>
          <w:lang w:val="en" w:eastAsia="en"/>
        </w:rPr>
        <w:tab/>
      </w:r>
      <w:r>
        <w:rPr>
          <w:lang w:val="el" w:eastAsia="el"/>
        </w:rPr>
        <w:t>Των υποπαρ. Β2-Β11 του ν. 4152/2013 «Επείγοντα μέτρα εφαρμογής των ν. 4046/2012, ν. 4093/2012 και ν.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Α’98), όπως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922/1972, (ΕΟΚ) αριθ. 234/1979, (ΕΚ) αριθμ. 1037/2001 και (ΕΚ) αριθ.1234/2007 του Συμβουλίου (L 347/20.12.2013),</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κανονισμού (ΕΕ) αριθ.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αριθ. 555/2008 της Επιτροπής (L 190/15.07.2016),</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κανονισμού (ΕΕ) αριθ. 1308/2013 του Ευρωπαϊκού Κοινοβουλίου και του Συμβουλίου όσον αφορά τα εθνικά προγράμματα στήριξης του αμπελοοινικού τομέα (L 190/15.07.2016),</w:t>
      </w:r>
    </w:p>
    <w:p>
      <w:pPr>
        <w:pStyle w:val="StructureList1"/>
        <w:spacing w:before="120" w:after="0"/>
        <w:rPr>
          <w:lang w:val="el" w:eastAsia="el"/>
        </w:rPr>
      </w:pPr>
      <w:r>
        <w:rPr>
          <w:lang w:val="el" w:eastAsia="el"/>
        </w:rPr>
        <w:t>δ)</w:t>
      </w:r>
      <w:r>
        <w:rPr>
          <w:lang w:val="en" w:eastAsia="en"/>
        </w:rPr>
        <w:tab/>
      </w:r>
      <w:r>
        <w:rPr>
          <w:lang w:val="el" w:eastAsia="el"/>
        </w:rPr>
        <w:t>(EE)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352/1978, (ΕΚ), αριθ. 165/1994, (ΕΚ) αριθ. 2799/1998, (ΕΚ) αριθ. 814/2000, (ΕΚ) αριθ. 1290/2005 και (ΕΚ) αριθ. 485/2008 του Συμβουλίου (L 347/20.12.2013),</w:t>
      </w:r>
    </w:p>
    <w:p>
      <w:pPr>
        <w:pStyle w:val="StructureList1"/>
        <w:spacing w:before="120" w:after="0"/>
        <w:rPr>
          <w:lang w:val="el" w:eastAsia="el"/>
        </w:rPr>
      </w:pPr>
      <w:r>
        <w:rPr>
          <w:lang w:val="el" w:eastAsia="el"/>
        </w:rPr>
        <w:t>ε)</w:t>
      </w:r>
      <w:r>
        <w:rPr>
          <w:lang w:val="en" w:eastAsia="en"/>
        </w:rPr>
        <w:tab/>
      </w:r>
      <w:r>
        <w:rPr>
          <w:lang w:val="el" w:eastAsia="el"/>
        </w:rPr>
        <w:t>(ΕΕ)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193/01.07.2014),</w:t>
      </w:r>
    </w:p>
    <w:p>
      <w:pPr>
        <w:pStyle w:val="StructureList1"/>
        <w:spacing w:before="120" w:after="0"/>
        <w:rPr>
          <w:lang w:val="el" w:eastAsia="el"/>
        </w:rPr>
      </w:pPr>
      <w:r>
        <w:rPr>
          <w:lang w:val="el" w:eastAsia="el"/>
        </w:rPr>
        <w:t>στ)</w:t>
      </w:r>
      <w:r>
        <w:rPr>
          <w:lang w:val="en" w:eastAsia="en"/>
        </w:rPr>
        <w:tab/>
      </w:r>
      <w:r>
        <w:rPr>
          <w:lang w:val="el" w:eastAsia="el"/>
        </w:rPr>
        <w:t>κατ’ εξουσιοδότηση Κανονισμό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(L 205/29.06.2020),</w:t>
      </w:r>
    </w:p>
    <w:p>
      <w:pPr>
        <w:pStyle w:val="StructureList1"/>
        <w:spacing w:before="120" w:after="0"/>
        <w:rPr>
          <w:lang w:val="el" w:eastAsia="el"/>
        </w:rPr>
      </w:pPr>
      <w:r>
        <w:rPr>
          <w:lang w:val="el" w:eastAsia="el"/>
        </w:rPr>
        <w:t>ζ)</w:t>
      </w:r>
      <w:r>
        <w:rPr>
          <w:lang w:val="en" w:eastAsia="en"/>
        </w:rPr>
        <w:tab/>
      </w:r>
      <w:r>
        <w:rPr>
          <w:lang w:val="el" w:eastAsia="el"/>
        </w:rPr>
        <w:t>κατ’ εξουσιοδότηση Κανονισμό (ΕΕ) 2021/2027 της Επιτροπής, της 13ης Σεπτεμβρίου 2021, για την τροποποίηση του κατ’ εξουσιοδότηση κανονισμού (ΕΕ) 2020/884 σχετικά με τις παρεκκλίσεις από τον κατ’ εξουσιοδότηση κανονισμό (ΕΕ) 2016/1149 για την αντιμετώπιση της κρίσης στον αμπελοοινικό τομέα λόγω της πανδημίας COVID-19 και για την τροποποίηση του κατ’ εξουσιοδότηση κανονισμού (ΕΕ) 2016/1149 (L 415/22.11.2021),</w:t>
      </w:r>
    </w:p>
    <w:p>
      <w:pPr>
        <w:pStyle w:val="StructureList1"/>
        <w:spacing w:before="120" w:after="0"/>
        <w:rPr>
          <w:lang w:val="el" w:eastAsia="el"/>
        </w:rPr>
      </w:pPr>
      <w:r>
        <w:rPr>
          <w:lang w:val="el" w:eastAsia="el"/>
        </w:rPr>
        <w:t>η)</w:t>
      </w:r>
      <w:r>
        <w:rPr>
          <w:lang w:val="en" w:eastAsia="en"/>
        </w:rPr>
        <w:tab/>
      </w:r>
      <w:r>
        <w:rPr>
          <w:lang w:val="el" w:eastAsia="el"/>
        </w:rPr>
        <w:t>(ΕΕ) αριθ. 833/2014 του Συμβουλίου, της 31ης Ιουλίου 2014, σχετικά με περιοριστικά μέτρα λόγω ενεργειών της Ρωσίας που αποσταθεροποιούν την κατάσταση στην Ουκρανία (L 229/31.07.2014 και διορθ. L 246/2014 και L 114/2022),</w:t>
      </w:r>
    </w:p>
    <w:p>
      <w:pPr>
        <w:pStyle w:val="StructureList1"/>
        <w:spacing w:before="120" w:after="0"/>
        <w:rPr>
          <w:lang w:val="el" w:eastAsia="el"/>
        </w:rPr>
      </w:pPr>
      <w:r>
        <w:rPr>
          <w:lang w:val="el" w:eastAsia="el"/>
        </w:rPr>
        <w:t>θ)</w:t>
      </w:r>
      <w:r>
        <w:rPr>
          <w:lang w:val="en" w:eastAsia="en"/>
        </w:rPr>
        <w:tab/>
      </w:r>
      <w:r>
        <w:rPr>
          <w:lang w:val="el" w:eastAsia="el"/>
        </w:rPr>
        <w:t>(ΕΕ)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111/08.04.2022),</w:t>
      </w:r>
    </w:p>
    <w:p>
      <w:pPr>
        <w:pStyle w:val="StructureList1"/>
        <w:spacing w:before="120" w:after="0"/>
        <w:rPr>
          <w:lang w:val="el" w:eastAsia="el"/>
        </w:rPr>
      </w:pPr>
      <w:r>
        <w:rPr>
          <w:lang w:val="el" w:eastAsia="el"/>
        </w:rPr>
        <w:t>ι)</w:t>
      </w:r>
      <w:r>
        <w:rPr>
          <w:lang w:val="en" w:eastAsia="en"/>
        </w:rPr>
        <w:tab/>
      </w:r>
      <w:r>
        <w:rPr>
          <w:lang w:val="el" w:eastAsia="el"/>
        </w:rPr>
        <w:t>εκτελεστικό Κανονισμό (ΕΕ) 2022/1216 της Επιτροπής, της 8ης Ιουλίου 2022, σχετικά με παρέκκλιση, για το έτος 2022, από τους εκτελεστικούς κανονισμούς (ΕΕ) αριθ. 809/2014, (ΕΕ) αριθ.180/2014, (ΕΕ) αριθ. 181/2014, (ΕΕ) 2017/892, (ΕΕ) αριθ. 2016/1150, (ΕΕ) αριθ. 2018/274, (ΕΕ) αριθ. 615/2014 και (ΕΕ) αριθ. 2015/1368 όσον αφορά ορισμένους διοικητικούς και επιτόπιους ελέγχους που πραγματοποιούνται στο πλαίσιο της κοινής γεωργικής πολιτικής και για την τροποποίηση του εκτελεστικού κανονισμού (ΕΕ) 2021/725 (L 188/15.07.2022).</w:t>
      </w:r>
    </w:p>
    <w:p>
      <w:pPr>
        <w:pStyle w:val="PreambelText"/>
        <w:spacing w:before="240" w:after="240"/>
        <w:rPr>
          <w:lang w:val="el" w:eastAsia="el"/>
        </w:rPr>
      </w:pPr>
      <w:r>
        <w:rPr>
          <w:lang w:val="el" w:eastAsia="el"/>
        </w:rPr>
        <w:t>3.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6.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7. Το π.δ. 5/2022 «Οργανισμός Υπουργείου Ανάπτυξης και Επενδύσεων» (Α’ 15).</w:t>
      </w:r>
    </w:p>
    <w:p>
      <w:pPr>
        <w:pStyle w:val="PreambelText"/>
        <w:spacing w:before="240" w:after="240"/>
        <w:rPr>
          <w:lang w:val="el" w:eastAsia="el"/>
        </w:rPr>
      </w:pPr>
      <w:r>
        <w:rPr>
          <w:lang w:val="el" w:eastAsia="el"/>
        </w:rPr>
        <w:t>8. Το π.δ. 8/2022 «Διορισμός Υπουργού Αγροτικής Ανάπτυξης και Τροφίμων» (Α’ 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Εθνικό Πρόγραμμα Στήριξης του αμπελοοινικού τομέα για την περίοδο 2019 - 2023, όπως έχει εγκριθεί από την Ευρωπαϊκή Επιτροπή.</w:t>
      </w:r>
    </w:p>
    <w:p>
      <w:pPr>
        <w:pStyle w:val="PreambelText"/>
        <w:spacing w:before="240" w:after="240"/>
        <w:rPr>
          <w:lang w:val="el" w:eastAsia="el"/>
        </w:rPr>
      </w:pPr>
      <w:r>
        <w:rPr>
          <w:lang w:val="el" w:eastAsia="el"/>
        </w:rPr>
        <w:t>11. Το υπ’ αρ. 3697/06.07.2022 έγγραφο της Διεύθυνσης Μελετών και Γνωμοδοτήσεων της Ενιαίας Ανεξάρτητης Αρχής Δημοσίων Συμβάσεων «Ενημέρωση για την έκδοση του Κανονισμού (ΕΕ) υπ’ αρ. 2022/576 του Συμβουλίου της 8ης Απριλίου 2022, για την τροποποίηση του Κανονισμού (ΕΕ) υπ’ αρ. 833/2014 σχετικά με περιοριστικά μέτρα λόγω ενεργειών της Ρωσίας που αποσταθεροποιούν την κατάσταση στην Ουκρανία».</w:t>
      </w:r>
    </w:p>
    <w:p>
      <w:pPr>
        <w:pStyle w:val="PreambelText"/>
        <w:spacing w:before="240" w:after="240"/>
        <w:rPr>
          <w:lang w:val="el" w:eastAsia="el"/>
        </w:rPr>
      </w:pPr>
      <w:r>
        <w:rPr>
          <w:lang w:val="el" w:eastAsia="el"/>
        </w:rPr>
        <w:t>12. Την υπ’ αρ. 1032/211090/20.7.2022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13. Την υπ’ αρ. 491/62337/07.05.2019 κοινή απόφαση των Υπουργών Οικονομίας και Ανάπτυξης,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επιπρόσθετη δαπάνη για την κάλυψη της εθνικής συμμετοχής για την υλοποίηση του προγράμματος ΠΡΟΩΘΗΣΗ ΟΙΝΩΝ ΣΕ ΑΓΟΡΕΣ ΤΡΙΤΩΝ ΧΩΡΩΝ οικονομικών ετών 2019 έως 2023, πέραν αυτής που έχει εγκριθεί με την υπ’ αρ. 491/62337/07.05.2019 κοινή υπουργική απόφαση (Β’ 1549),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 αρ. 491/62337/07.05.2019 κοινής υπουργικής απόφασης (Β’ 1549)</w:t>
      </w:r>
    </w:p>
    <w:p>
      <w:pPr>
        <w:spacing w:before="240" w:after="240"/>
        <w:rPr>
          <w:lang w:val="el" w:eastAsia="el"/>
        </w:rPr>
      </w:pPr>
      <w:r>
        <w:rPr>
          <w:lang w:val="el" w:eastAsia="el"/>
        </w:rPr>
        <w:t>Η υπ’ αρ. 491/62337/07.05.2019 κοινή απόφαση των Υπουργών Οικονομίας και Ανάπτυξης, Εξωτερικών και Αγροτικής Ανάπτυξης και Τροφίμων (Β’ 1549) τροποποιείται ως ακολούθως:</w:t>
      </w:r>
    </w:p>
    <w:p>
      <w:pPr>
        <w:pStyle w:val="MainText"/>
        <w:spacing w:before="120" w:after="0"/>
        <w:rPr>
          <w:lang w:val="el" w:eastAsia="el"/>
        </w:rPr>
      </w:pPr>
      <w:r>
        <w:rPr>
          <w:b/>
          <w:bCs/>
          <w:lang w:val="el" w:eastAsia="el"/>
        </w:rPr>
        <w:t>1.</w:t>
      </w:r>
      <w:r>
        <w:rPr>
          <w:lang w:val="el" w:eastAsia="el"/>
        </w:rPr>
        <w:t xml:space="preserve"> Στο άρθρο 23 προστίθενται παράγραφοι 7 και 8 ως εξής:</w:t>
      </w:r>
    </w:p>
    <w:p>
      <w:pPr>
        <w:spacing w:before="240" w:after="240"/>
        <w:rPr>
          <w:lang w:val="el" w:eastAsia="el"/>
        </w:rPr>
      </w:pPr>
      <w:r>
        <w:rPr>
          <w:lang w:val="el" w:eastAsia="el"/>
        </w:rPr>
        <w:t>«7. Από τη16η Οκτωβρίου 2021 και για το οικονομικό έτος 2022, κατά παρέκκλιση από την παρ. 1 του άρθρου 53 του κατ’ εξουσιοδότηση Κανονισμού (ΕΕ) 2016/1149 και σύμφωνα με την παρ. 3 του άρθρου 2 του κατ’ εξουσιοδότηση Κανονισμού (ΕΕ) 2020/884, όπως αυτή τροποποιήθηκε με την περ. 2 του άρθρου 1 του κατ’ εξουσιοδότηση Κανονισμού (ΕΕ) 2021/2027, οι δικαιούχοι μπορούν, σε δεόντως αιτιολογημένες περιπτώσεις που σχετίζονται με την πανδημία COVID-19, να πραγματοποιούν έως την ημερομηνία λήξης υλοποίησης των δράσεων των προγραμμάτων προώθησης, αλλαγές, χωρίς προηγούμενη έγκριση, υπό την προϋπόθεση ότι οι αλλαγές αυτές δεν επηρεάζουν την επιλεξιμότητα οποιουδήποτε μέρους της δράσης και των συνολικών στόχων της και υπό την προϋπόθεση ότι δεν γίνεται υπέρβαση του συνολικού ποσού της εγκριθείσας στήριξης. Οι δικαιούχοι κοινοποιούν τις αλλαγές αυτές στις αρμόδιες αρχές των παρ. 1 και 3 του άρθρου 3 της παρούσας, το αργότερο είκοσι (20) ημερολογιακές ημέρες πριν τον προβλεπόμενο χρόνο εκτέλεσης της δράσης στην οποία αφορά η αλλαγή.</w:t>
      </w:r>
    </w:p>
    <w:p>
      <w:pPr>
        <w:spacing w:before="240" w:after="240"/>
        <w:rPr>
          <w:lang w:val="el" w:eastAsia="el"/>
        </w:rPr>
      </w:pPr>
      <w:r>
        <w:rPr>
          <w:lang w:val="el" w:eastAsia="el"/>
        </w:rPr>
        <w:t>8. Από τη 16η Οκτωβρίου 2021 και για το οικονομικό έτος 2022, κατά παρέκκλιση από την παρ. 1 του άρθρου 53 του κατ’ εξουσιοδότηση Κανονισμού (ΕΕ) 2016/1149 και σύμφωνα με την παρ. 4 του άρθρου 2 του κατ’ εξουσιοδότηση Κανονισμού (ΕΕ) 2020/884, όπως αυτή τροποποιήθηκε με την περ. 2 του άρθρου 1 του κατ’ εξουσιοδότηση Κανονισμού (ΕΕ) 2021/2027, οι δικαιούχοι μπορούν, σε δεόντως αιτιολογημένες περιπτώσεις που συνδέονται με την πανδημία COVID-19, να προτείνουν αλλαγές οι οποίες τροποποιούν τον στόχο της συνολικής δράσης που έχει ήδη εγκριθεί, υπό την προϋπόθεση ότι πραγματοποιούνται έως την ημερομηνία λήξης υλοποίησης των δράσεων των προγραμμάτων προώθησης και ότι τυχόν εν εξελίξει επιμέρους ενέργειες που αποτελούν μέρος της συνολικής δράσης έχουν ολοκληρωθεί. Για τις αλλαγές αυτές, οι δικαιούχοι υποβάλλουν αίτηση στην αρμόδια αρχή της παρ. 1 του άρθρου 3 της παρούσας, το αργότερο είκοσι (20) ημερολογιακές ημέρες πριν τον προβλεπόμενο χρόνο εκτέλεσης της δράσης στην οποία αφορά η αλλαγή. Η αίτηση εξετάζεται από την αρμόδια αρχή εντός δέκα (10) ημερολογιακών ημερών από την ημερομηνία κατάθεσής της. Η αρμόδια αρχή ενημερώνει τον αιτούντα για την έγκριση ή απόρριψη της αίτησης εντός πέντε (5) εργάσιμων ημερών από την ολοκλήρωση της εξέτασης. Για την υλοποίηση των αλλαγών αυτών απαιτείται τροποποίηση της σύμβασης μεταξύ του δικαιούχου και του ΥΠΑΑΤ και η ισχύς τους ξεκινά από την ημερομηνία υπογραφής της τροποποιημένης σύμβασης. Αντίγραφο της τροποποιημένης σύμβασης αποστέλλεται στον Ο.Π.Ε.Κ.Ε.Π.Ε. εντός δέκα (10) ημερολογιακών ημερών από την υπογραφή της.».</w:t>
      </w:r>
    </w:p>
    <w:p>
      <w:pPr>
        <w:pStyle w:val="MainText"/>
        <w:spacing w:before="120" w:after="0"/>
        <w:rPr>
          <w:lang w:val="el" w:eastAsia="el"/>
        </w:rPr>
      </w:pPr>
      <w:r>
        <w:rPr>
          <w:b/>
          <w:bCs/>
          <w:lang w:val="el" w:eastAsia="el"/>
        </w:rPr>
        <w:t>2.</w:t>
      </w:r>
      <w:r>
        <w:rPr>
          <w:lang w:val="el" w:eastAsia="el"/>
        </w:rPr>
        <w:t xml:space="preserve"> Στην περ. α’ της παρ. 7 του άρθρου 24 προστίθεται εδάφιο ως εξής:</w:t>
      </w:r>
    </w:p>
    <w:p>
      <w:pPr>
        <w:spacing w:before="240" w:after="240"/>
        <w:rPr>
          <w:lang w:val="el" w:eastAsia="el"/>
        </w:rPr>
      </w:pPr>
      <w:r>
        <w:rPr>
          <w:lang w:val="el" w:eastAsia="el"/>
        </w:rPr>
        <w:t>«Το προηγούμενο εδάφιο εφαρμόζεται και για το οικονομικό έτος 2022, σύμφωνα με την παρ. 1 του άρθρου 7 του εκτελεστικού Κανονισμού (ΕΕ) 2022/1216.».</w:t>
      </w:r>
    </w:p>
    <w:p>
      <w:pPr>
        <w:pStyle w:val="MainText"/>
        <w:spacing w:before="120" w:after="0"/>
        <w:rPr>
          <w:lang w:val="el" w:eastAsia="el"/>
        </w:rPr>
      </w:pPr>
      <w:r>
        <w:rPr>
          <w:b/>
          <w:bCs/>
          <w:lang w:val="el" w:eastAsia="el"/>
        </w:rPr>
        <w:t>3.</w:t>
      </w:r>
      <w:r>
        <w:rPr>
          <w:lang w:val="el" w:eastAsia="el"/>
        </w:rPr>
        <w:t xml:space="preserve"> Στην παρ. 3 του άρθρου 25 προστίθεται εδάφιο ως εξής:</w:t>
      </w:r>
    </w:p>
    <w:p>
      <w:pPr>
        <w:spacing w:before="240" w:after="240"/>
        <w:rPr>
          <w:lang w:val="el" w:eastAsia="el"/>
        </w:rPr>
      </w:pPr>
      <w:r>
        <w:rPr>
          <w:lang w:val="el" w:eastAsia="el"/>
        </w:rPr>
        <w:t>«Για το οικονομικό έτος 2022, σε δεόντως αιτιολογημένες περιπτώσεις που σχετίζονται με την πανδημία COVID-19, καθώς και με την εφαρμογή του άρθρου 5ια του Κανονισμού (ΕΕ) αριθ. 833/2014, όπως αυτό προστέθηκε με την περ. 23 του άρθρου 1 του Κανονισμού (ΕΕ) 2022/576, δεν εφαρμόζονται οι παρ. 1 και 2 του παρόντος άρθρου.».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Εξωτερικών</w:t>
      </w:r>
    </w:p>
    <w:p>
      <w:pPr>
        <w:spacing w:before="240" w:after="240"/>
        <w:rPr>
          <w:lang w:val="el" w:eastAsia="el"/>
        </w:rPr>
      </w:pPr>
      <w:r>
        <w:rPr>
          <w:b/>
          <w:bCs/>
          <w:lang w:val="el" w:eastAsia="el"/>
        </w:rPr>
        <w:t>ΣΠΥΡΙΔΩΝ - ΑΔΩΝΗΣ ΝΙΚΟΛΑΟΣ - ΓΕΩΡΓΙΟΣ</w:t>
      </w:r>
    </w:p>
    <w:p>
      <w:pPr>
        <w:spacing w:before="240" w:after="240"/>
        <w:rPr>
          <w:lang w:val="el" w:eastAsia="el"/>
        </w:rPr>
      </w:pPr>
      <w:r>
        <w:rPr>
          <w:b/>
          <w:bCs/>
          <w:lang w:val="el" w:eastAsia="el"/>
        </w:rPr>
        <w:t>ΓΕΩΡΓΙΑΔΗΣ ΔΕΝΔΙΑΣ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