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1361/228335</w:t>
      </w:r>
    </w:p>
    <w:p>
      <w:pPr>
        <w:pStyle w:val="PreambelText"/>
        <w:spacing w:before="240" w:after="240"/>
        <w:rPr>
          <w:lang w:val="el" w:eastAsia="el"/>
        </w:rPr>
      </w:pPr>
      <w:r>
        <w:rPr>
          <w:b/>
          <w:bCs/>
          <w:lang w:val="el" w:eastAsia="el"/>
        </w:rPr>
        <w:t>Τροποποίησητηςυπ’αρ.1387/231285/17.10.2019 κοινής απόφασης των Υπουργών Ανάπτυξης και Επενδύσεων, Εξωτερικών και Αγροτικής Ανάπτυξης και Τροφίμων «Συμπληρωματικά μέτρα για την εφαρμογή του κανονισμού (ΕΕ) αριθμ. 1308/2013 του Ευρωπαϊκού Κοινοβουλίου και του Συμβουλίου (ΕΕ L 347 της 20-12-2013, σ. 671), του κατ’ εξουσιοδότηση κανονισμού (ΕΕ) 2016/1149 της Επιτροπής (ΕΕ L 190 της 15-07-2016, σ. 1) και του εκτελεστικού κανονισμού (ΕΕ) 2016/1150 της Επιτροπής (ΕΕ L 190 της 15-07-2016, σ. 23), σχετικά με το ειδικό μέτρο στήριξης της ενημέρωσης στα κράτη μέλη για την προγραμματική περίοδο 2019-2023» (Β’ 3838).</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ΑΝΑΠΤΥΞΗΣ ΚΑΙ ΕΠΕΝΔΥΣΕΩΝ - ΕΞΩΤΕΡΙΚΩΝ - 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περ. α’ της παρ. 2 του άρθρου 62 του ν. 4235/2014 «Διοικητικά μέτρα, διαδικασίες και κυρώσεις στην εφαρμογή της ενωσιακής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 32), όπως η παρ. 2 τροποποιήθηκε με την παρ. 2 του άρθρου 46 του ν. 4384/2016 (Α’ 78),</w:t>
      </w:r>
    </w:p>
    <w:p>
      <w:pPr>
        <w:pStyle w:val="StructureList1"/>
        <w:spacing w:before="120" w:after="0"/>
        <w:rPr>
          <w:lang w:val="el" w:eastAsia="el"/>
        </w:rPr>
      </w:pPr>
      <w:r>
        <w:rPr>
          <w:lang w:val="el" w:eastAsia="el"/>
        </w:rPr>
        <w:t>β)</w:t>
      </w:r>
      <w:r>
        <w:rPr>
          <w:lang w:val="en" w:eastAsia="en"/>
        </w:rPr>
        <w:tab/>
      </w:r>
      <w:r>
        <w:rPr>
          <w:lang w:val="el" w:eastAsia="el"/>
        </w:rPr>
        <w:t>των άρθρων 23, 66, 79, 80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γ)</w:t>
      </w:r>
      <w:r>
        <w:rPr>
          <w:lang w:val="en" w:eastAsia="en"/>
        </w:rPr>
        <w:tab/>
      </w:r>
      <w:r>
        <w:rPr>
          <w:lang w:val="el" w:eastAsia="el"/>
        </w:rPr>
        <w:t>της παρ. 4 του άρθρου 28 του ν. 4314/2014 «Α. Για τη διαχείριση, τον έλεγχο και την εφαρμογή αναπτυξιακών παρεμβάσεων για την προγραμματική περίοδο 2014- 2020. Β. Ενσωμάτωση της Οδηγίας 2012/17 του Ευρωπαϊκού Κοινοβουλίου και του Συμβουλίου της 13ης Ιουνίου 2012 (ΕΕ L 156/16.06.2012) στο ελληνικό δίκαιο, τροποποίηση του ν. 3419/2005 (Α’ 297) και άλλες διατάξεις» (Α’ 265),</w:t>
      </w:r>
    </w:p>
    <w:p>
      <w:pPr>
        <w:pStyle w:val="StructureList1"/>
        <w:spacing w:before="120" w:after="0"/>
        <w:rPr>
          <w:lang w:val="el" w:eastAsia="el"/>
        </w:rPr>
      </w:pPr>
      <w:r>
        <w:rPr>
          <w:lang w:val="el" w:eastAsia="el"/>
        </w:rPr>
        <w:t>δ)</w:t>
      </w:r>
      <w:r>
        <w:rPr>
          <w:lang w:val="en" w:eastAsia="en"/>
        </w:rPr>
        <w:tab/>
      </w:r>
      <w:r>
        <w:rPr>
          <w:lang w:val="el" w:eastAsia="el"/>
        </w:rPr>
        <w:t>των άρθρων 13 έως 29 του ν. 2637/1998 «Σύσταση Οργανισμού Πιστοποίησηςων άρθρων 13 έως 29 του ν. 2637/1998 «Σύσταση Οργανισμού Πιστοποίησης Λογαριασμών, Οργανισμού Πληρωμών και Ελέγχου Κοινοτικών Ενισχύσεων Προσανατολισμού και Εγγυήσεων, Οργανισμού Πιστοποίησης και Επίβλεψης Γεωργικών Προϊόντων, Γενικών Διευθύνσεων και θέσεων προσωπικού στο Υπουργείο Γεωργίας και “Εταιρείας Αξιοποίησης Αγροτικής Γης Α.Ε.” και άλλες διατάξεις» (Α’ 200),</w:t>
      </w:r>
    </w:p>
    <w:p>
      <w:pPr>
        <w:pStyle w:val="StructureList1"/>
        <w:spacing w:before="120" w:after="0"/>
        <w:rPr>
          <w:lang w:val="el" w:eastAsia="el"/>
        </w:rPr>
      </w:pPr>
      <w:r>
        <w:rPr>
          <w:lang w:val="el" w:eastAsia="el"/>
        </w:rPr>
        <w:t>ε)</w:t>
      </w:r>
      <w:r>
        <w:rPr>
          <w:lang w:val="en" w:eastAsia="en"/>
        </w:rPr>
        <w:tab/>
      </w:r>
      <w:r>
        <w:rPr>
          <w:lang w:val="el" w:eastAsia="el"/>
        </w:rPr>
        <w:t>των υποπαρ. Β2-Β11 του ν. 4152/2013 «Επείγοντα μέτρα εφαρμογής των νόμων 4046/2012, 4093/2012 και 4127/2013» (Α’ 107),</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(άρθρο πρώτο του π.δ. 63/2005, Α’98), το οποίο διατηρήθηκε σε ισχύ με την παρ. 22 του άρθρου 119 του ν. 4622/2019 (Α’ 133).</w:t>
      </w:r>
    </w:p>
    <w:p>
      <w:pPr>
        <w:pStyle w:val="PreambelText"/>
        <w:spacing w:before="240" w:after="240"/>
        <w:rPr>
          <w:lang w:val="el" w:eastAsia="el"/>
        </w:rPr>
      </w:pPr>
      <w:r>
        <w:rPr>
          <w:lang w:val="el" w:eastAsia="el"/>
        </w:rPr>
        <w:t>2. Τους Κανονισμούς:</w:t>
      </w:r>
    </w:p>
    <w:p>
      <w:pPr>
        <w:pStyle w:val="StructureList1"/>
        <w:spacing w:before="120" w:after="0"/>
        <w:rPr>
          <w:lang w:val="el" w:eastAsia="el"/>
        </w:rPr>
      </w:pPr>
      <w:r>
        <w:rPr>
          <w:lang w:val="el" w:eastAsia="el"/>
        </w:rPr>
        <w:t>α)</w:t>
      </w:r>
      <w:r>
        <w:rPr>
          <w:lang w:val="en" w:eastAsia="en"/>
        </w:rPr>
        <w:tab/>
      </w:r>
      <w:r>
        <w:rPr>
          <w:lang w:val="el" w:eastAsia="el"/>
        </w:rPr>
        <w:t>(ΕΕ) αριθ.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υπό στοιχεία 922/72/ΕΟΚ, 234/79/ΕΟΚ, 1037/2001/ΕΚ και 1234/2007/ ΕΚ του Συμβουλίου (L 347/20.12.2013),</w:t>
      </w:r>
    </w:p>
    <w:p>
      <w:pPr>
        <w:pStyle w:val="StructureList1"/>
        <w:spacing w:before="120" w:after="0"/>
        <w:rPr>
          <w:lang w:val="el" w:eastAsia="el"/>
        </w:rPr>
      </w:pPr>
      <w:r>
        <w:rPr>
          <w:lang w:val="el" w:eastAsia="el"/>
        </w:rPr>
        <w:t>β)</w:t>
      </w:r>
      <w:r>
        <w:rPr>
          <w:lang w:val="en" w:eastAsia="en"/>
        </w:rPr>
        <w:tab/>
      </w:r>
      <w:r>
        <w:rPr>
          <w:lang w:val="el" w:eastAsia="el"/>
        </w:rPr>
        <w:t>κατ’ εξουσιοδότηση Κανονισμό (ΕΕ) 2016/1149 της Επιτροπής, της 15ης Απριλίου 2016, για τη συμπλήρωση του υπ’ αρ. 1308/2013 κανονισμού (ΕΕ) του Ευρωπαϊκού Κοινοβουλίου και του Συμβουλίου όσον αφορά τα εθνικά προγράμματα στήριξης στον αμπελοοινικό τομέα και για την τροποποίηση του υπ’ αρ. 555/2008 κανονισμού (ΕΚ) της Επιτροπής» (L 190/15.07.2016),</w:t>
      </w:r>
    </w:p>
    <w:p>
      <w:pPr>
        <w:pStyle w:val="StructureList1"/>
        <w:spacing w:before="120" w:after="0"/>
        <w:rPr>
          <w:lang w:val="el" w:eastAsia="el"/>
        </w:rPr>
      </w:pPr>
      <w:r>
        <w:rPr>
          <w:lang w:val="el" w:eastAsia="el"/>
        </w:rPr>
        <w:t>γ)</w:t>
      </w:r>
      <w:r>
        <w:rPr>
          <w:lang w:val="en" w:eastAsia="en"/>
        </w:rPr>
        <w:tab/>
      </w:r>
      <w:r>
        <w:rPr>
          <w:lang w:val="el" w:eastAsia="el"/>
        </w:rPr>
        <w:t>εκτελεστικό Κανονισμό (ΕΕ) 2016/1150 της Επιτροπής, της 15ης Απριλίου 2016, για τη θέσπιση κανόνων εφαρμογής του υπ’ αρ. 1308/2013 κανονισμού (ΕΕ) του Ευρωπαϊκού Κοινοβουλίου και του Συμβουλίου όσον αφορά τα εθνικά προγράμματα στήριξης του αμπελοοινικού τομέα» (L 190/15.07.2016),</w:t>
      </w:r>
    </w:p>
    <w:p>
      <w:pPr>
        <w:pStyle w:val="StructureList1"/>
        <w:spacing w:before="120" w:after="0"/>
        <w:rPr>
          <w:lang w:val="el" w:eastAsia="el"/>
        </w:rPr>
      </w:pPr>
      <w:r>
        <w:rPr>
          <w:lang w:val="el" w:eastAsia="el"/>
        </w:rPr>
        <w:t>δ)</w:t>
      </w:r>
      <w:r>
        <w:rPr>
          <w:lang w:val="en" w:eastAsia="en"/>
        </w:rPr>
        <w:tab/>
      </w:r>
      <w:r>
        <w:rPr>
          <w:lang w:val="el" w:eastAsia="el"/>
        </w:rPr>
        <w:t>(EE) αριθ. 1306/2013 του Ευρωπαϊκού Κοινοβουλίου και του Συμβουλίου, της 17ης Δεκεμβρίου 2013, σχετικά με τη χρηματοδότηση, τη διαχείριση και την παρακολούθηση της κοινής γεωργικής πολιτικής και την κατάργηση των κανονισμών (ΕΟΚ) υπ’ αρ. 352/78, (ΕΚ) 165/94, (ΕΚ) 2799/98, (ΕΚ) 814/2000, (ΕΚ) 1290/2005 και (ΕΚ) 485/2008 του Συμβουλίου (L 347/20.12.2013),</w:t>
      </w:r>
    </w:p>
    <w:p>
      <w:pPr>
        <w:pStyle w:val="StructureList1"/>
        <w:spacing w:before="120" w:after="0"/>
        <w:rPr>
          <w:lang w:val="el" w:eastAsia="el"/>
        </w:rPr>
      </w:pPr>
      <w:r>
        <w:rPr>
          <w:lang w:val="el" w:eastAsia="el"/>
        </w:rPr>
        <w:t>ε)</w:t>
      </w:r>
      <w:r>
        <w:rPr>
          <w:lang w:val="en" w:eastAsia="en"/>
        </w:rPr>
        <w:tab/>
      </w:r>
      <w:r>
        <w:rPr>
          <w:lang w:val="el" w:eastAsia="el"/>
        </w:rPr>
        <w:t>(ΕΕ) αριθ.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(L 193/01.07.2014),</w:t>
      </w:r>
    </w:p>
    <w:p>
      <w:pPr>
        <w:pStyle w:val="StructureList1"/>
        <w:spacing w:before="120" w:after="0"/>
        <w:rPr>
          <w:lang w:val="el" w:eastAsia="el"/>
        </w:rPr>
      </w:pPr>
      <w:r>
        <w:rPr>
          <w:lang w:val="el" w:eastAsia="el"/>
        </w:rPr>
        <w:t>στ)</w:t>
      </w:r>
      <w:r>
        <w:rPr>
          <w:lang w:val="en" w:eastAsia="en"/>
        </w:rPr>
        <w:tab/>
      </w:r>
      <w:r>
        <w:rPr>
          <w:lang w:val="el" w:eastAsia="el"/>
        </w:rPr>
        <w:t>κατ’ εξουσιοδότηση Κανονισμό (ΕΕ) 2020/884 της Επιτροπής, της 4ης Μαΐου 2020, σχετικά με παρέκκλιση, για το έτος 2020, από τον κατ’ εξουσιοδότηση κανονισμό (ΕΕ) 2017/891 όσον αφορά τον τομέα των οπωροκηπευτικών και από τον κατ’ εξουσιοδότηση κανονισμό (ΕΕ) 2016/1149 όσον αφορά τον αμπελοοινικό τομέα, λόγω της πανδημίας COVID-19 (L 205/29.06.2020),</w:t>
      </w:r>
    </w:p>
    <w:p>
      <w:pPr>
        <w:pStyle w:val="StructureList1"/>
        <w:spacing w:before="120" w:after="0"/>
        <w:rPr>
          <w:lang w:val="el" w:eastAsia="el"/>
        </w:rPr>
      </w:pPr>
      <w:r>
        <w:rPr>
          <w:lang w:val="el" w:eastAsia="el"/>
        </w:rPr>
        <w:t>ζ)</w:t>
      </w:r>
      <w:r>
        <w:rPr>
          <w:lang w:val="en" w:eastAsia="en"/>
        </w:rPr>
        <w:tab/>
      </w:r>
      <w:r>
        <w:rPr>
          <w:lang w:val="el" w:eastAsia="el"/>
        </w:rPr>
        <w:t>κατ’ εξουσιοδότηση Κανονισμό (ΕΕ) 2021/2027 της Επιτροπής, της 13ης Σεπτεμβρίου 2021, για την τροποποίηση του κατ’ εξουσιοδότηση κανονισμού (ΕΕ) 2020/884 σχετικά με τις παρεκκλίσεις από τον κατ’ εξουσιοδότηση κανονισμό (ΕΕ) 2016/1149 για την αντιμετώπιση της κρίσης στον αμπελοοινικό τομέα λόγω της πανδημίας COVID-19 και για την τροποποίηση του κατ’ εξουσιοδότηση κανονισμού (ΕΕ) 2016/1149 (L 415/22.11.2021),</w:t>
      </w:r>
    </w:p>
    <w:p>
      <w:pPr>
        <w:pStyle w:val="StructureList1"/>
        <w:spacing w:before="120" w:after="0"/>
        <w:rPr>
          <w:lang w:val="el" w:eastAsia="el"/>
        </w:rPr>
      </w:pPr>
      <w:r>
        <w:rPr>
          <w:lang w:val="el" w:eastAsia="el"/>
        </w:rPr>
        <w:t>η)</w:t>
      </w:r>
      <w:r>
        <w:rPr>
          <w:lang w:val="en" w:eastAsia="en"/>
        </w:rPr>
        <w:tab/>
      </w:r>
      <w:r>
        <w:rPr>
          <w:lang w:val="el" w:eastAsia="el"/>
        </w:rPr>
        <w:t>εκτελεστικό Κανονισμό (ΕΕ) 2022/1216 της Επιτροπής, της 8ης Ιουλίου 2022, σχετικά με παρέκκλιση, για το έτος 2022, από τους εκτελεστικούς κανονισμούς (ΕΕ) αριθ. 809/2014, (ΕΕ) αριθ. 180/2014, (ΕΕ) αριθ. 181/2014, (ΕΕ) 2017/892, (ΕΕ) 2016/1150, (ΕΕ) 2018/274, (ΕΕ) αριθ. 615/2014 και (ΕΕ) 2015/1368 όσον αφορά ορισμένους διοικητικούς και επιτόπιους ελέγχους που πραγματοποιούνται στο πλαίσιο της κοινής γεωργικής πολιτικής και για την τροποποίηση του εκτελεστικού κανονισμού (ΕΕ) 2021/725 (L 188/15.07.2022).</w:t>
      </w:r>
    </w:p>
    <w:p>
      <w:pPr>
        <w:pStyle w:val="PreambelText"/>
        <w:spacing w:before="240" w:after="240"/>
        <w:rPr>
          <w:lang w:val="el" w:eastAsia="el"/>
        </w:rPr>
      </w:pPr>
      <w:r>
        <w:rPr>
          <w:lang w:val="el" w:eastAsia="el"/>
        </w:rPr>
        <w:t>3. Τον ν. 4781/2021 «Οργάνωση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 (Α’ 31).</w:t>
      </w:r>
    </w:p>
    <w:p>
      <w:pPr>
        <w:pStyle w:val="PreambelText"/>
        <w:spacing w:before="240" w:after="240"/>
        <w:rPr>
          <w:lang w:val="el" w:eastAsia="el"/>
        </w:rPr>
      </w:pPr>
      <w:r>
        <w:rPr>
          <w:lang w:val="el" w:eastAsia="el"/>
        </w:rPr>
        <w:t>4.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Τον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6. Το π.δ. 97/2017 «Οργανισμός Υπουργείου Αγροτικής Ανάπτυξης και Τροφίμων» (Α’ 138).</w:t>
      </w:r>
    </w:p>
    <w:p>
      <w:pPr>
        <w:pStyle w:val="PreambelText"/>
        <w:spacing w:before="240" w:after="240"/>
        <w:rPr>
          <w:lang w:val="el" w:eastAsia="el"/>
        </w:rPr>
      </w:pPr>
      <w:r>
        <w:rPr>
          <w:lang w:val="el" w:eastAsia="el"/>
        </w:rPr>
        <w:t>7. Το π.δ. 5/2022 «Οργανισμός Υπουργείου Ανάπτυξης και Επενδύσεων» (Α’ 15).</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8/2022 «Διορισμός Υπουργού Αγροτικής Ανάπτυξης και Τροφίμων» (Α’ 19).</w:t>
      </w:r>
    </w:p>
    <w:p>
      <w:pPr>
        <w:pStyle w:val="PreambelText"/>
        <w:spacing w:before="240" w:after="240"/>
        <w:rPr>
          <w:lang w:val="el" w:eastAsia="el"/>
        </w:rPr>
      </w:pPr>
      <w:r>
        <w:rPr>
          <w:lang w:val="el" w:eastAsia="el"/>
        </w:rPr>
        <w:t>10. Το Εθνικό Πρόγραμμα Στήριξης του αμπελοοινικού τομέα για την περίοδο 2019 - 2023, όπως έχει εγκριθεί από την Ευρωπαϊκή Επιτροπή.</w:t>
      </w:r>
    </w:p>
    <w:p>
      <w:pPr>
        <w:pStyle w:val="PreambelText"/>
        <w:spacing w:before="240" w:after="240"/>
        <w:rPr>
          <w:lang w:val="el" w:eastAsia="el"/>
        </w:rPr>
      </w:pPr>
      <w:r>
        <w:rPr>
          <w:lang w:val="el" w:eastAsia="el"/>
        </w:rPr>
        <w:t>11. Την υπ’ αρ. 1033./211101/20.07.2022 εισήγηση του προϊσταμένου της Γενικής Διεύθυνσης Οικονομικών Υπηρεσιών του Υπουργείου Αγροτικής Ανάπτυξης και Τροφίμων, σύμφωνα με την περ. ε’ της παρ. 5 του άρθρου 24 του ν. 4270/2014 (Α’ 143).</w:t>
      </w:r>
    </w:p>
    <w:p>
      <w:pPr>
        <w:pStyle w:val="PreambelText"/>
        <w:spacing w:before="240" w:after="240"/>
        <w:rPr>
          <w:lang w:val="el" w:eastAsia="el"/>
        </w:rPr>
      </w:pPr>
      <w:r>
        <w:rPr>
          <w:lang w:val="el" w:eastAsia="el"/>
        </w:rPr>
        <w:t>12. Την υπ’ αρ. 1387/231285/17.10.2019 κοινή απόφαση των Υπουργών Ανάπτυξης και Επενδύσεων, Εξωτερικών και Αγροτικής Ανάπτυξης και Τροφίμων «Συμπληρωματικά μέτρα για την εφαρμογή του κανονισμού (ΕΕ) αριθμ. 1308/2013 του Ευρωπαϊκού Κοινοβουλίου και του Συμβουλίου (ΕΕ L 347 της 20-12-2013, σ. 671), του κατ’ εξουσιοδότηση κανονισμού (ΕΕ) 2016/1149 της Επιτροπής (ΕΕ L 190 της 15-07-2016, σ. 1) και του εκτελεστικού κανονισμού (ΕΕ) 2016/1150 της Επιτροπής (ΕΕ L 190 της 15-07-2016, σ. 23), σχετικά με το ειδικό μέτρο στήριξης της ενημέρωσης στα κράτη μέλη για την προγραμματική περίοδο 2019-2023» (Β’ 3838).</w:t>
      </w:r>
    </w:p>
    <w:p>
      <w:pPr>
        <w:pStyle w:val="PreambelText"/>
        <w:spacing w:before="240" w:after="240"/>
        <w:rPr>
          <w:lang w:val="el" w:eastAsia="el"/>
        </w:rPr>
      </w:pPr>
      <w:r>
        <w:rPr>
          <w:lang w:val="el" w:eastAsia="el"/>
        </w:rPr>
        <w:t>13. Το γεγονός ότι από τις διατάξεις της παρούσας απόφασης δεν προκαλείται επιπρόσθετη δαπάνη για την κάλυψη της εθνικής συμμετοχής για την υλοποίηση του προγράμματος ΕΝΗΜΕΡΩΣΗ ΣΤΑ ΚΡΑΤΗ ΜΕΛΗ οικονομικών ετών 2019 έως 2023, πέραν αυτής που έχει εγκριθεί με την υπ’ αρ. 1387/231285/17.09.2019 κοινή υπουργική απόφαση (Β’ 3838),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Τροποποίηση της υπ’ αρ.</w:t>
      </w:r>
    </w:p>
    <w:p>
      <w:pPr>
        <w:spacing w:before="240" w:after="240"/>
        <w:rPr>
          <w:lang w:val="el" w:eastAsia="el"/>
        </w:rPr>
      </w:pPr>
      <w:r>
        <w:rPr>
          <w:lang w:val="el" w:eastAsia="el"/>
        </w:rPr>
        <w:t>1387/231285/17.10.2019 κοινής υπουργικής απόφασης (Β’ 3838)</w:t>
      </w:r>
    </w:p>
    <w:p>
      <w:pPr>
        <w:spacing w:before="240" w:after="240"/>
        <w:rPr>
          <w:lang w:val="el" w:eastAsia="el"/>
        </w:rPr>
      </w:pPr>
      <w:r>
        <w:rPr>
          <w:lang w:val="el" w:eastAsia="el"/>
        </w:rPr>
        <w:t>Η υπ’ αρ. 1387/231285/17.10.2019 κοινή απόφαση των Υπουργών Ανάπτυξης και Επενδύσεων, Εξωτερικών και Αγροτικής Ανάπτυξης και Τροφίμων (Β’ 3838) τροποποιείται ως ακολούθως:</w:t>
      </w:r>
    </w:p>
    <w:p>
      <w:pPr>
        <w:pStyle w:val="MainText"/>
        <w:spacing w:before="120" w:after="0"/>
        <w:rPr>
          <w:lang w:val="el" w:eastAsia="el"/>
        </w:rPr>
      </w:pPr>
      <w:r>
        <w:rPr>
          <w:b/>
          <w:bCs/>
          <w:lang w:val="el" w:eastAsia="el"/>
        </w:rPr>
        <w:t>1.</w:t>
      </w:r>
      <w:r>
        <w:rPr>
          <w:lang w:val="el" w:eastAsia="el"/>
        </w:rPr>
        <w:t xml:space="preserve"> Στο άρθρο 23 προστίθενται παράγραφοι 6 και 7 ως εξής:</w:t>
      </w:r>
    </w:p>
    <w:p>
      <w:pPr>
        <w:spacing w:before="240" w:after="240"/>
        <w:rPr>
          <w:lang w:val="el" w:eastAsia="el"/>
        </w:rPr>
      </w:pPr>
      <w:r>
        <w:rPr>
          <w:lang w:val="el" w:eastAsia="el"/>
        </w:rPr>
        <w:t>«6. Από τη 16η Οκτωβρίου 2021 και για το οικονομικό έτος 2022, κατά παρέκκλιση από την παρ. 1 του άρθρου 53 του κατ’ εξουσιοδότηση Κανονισμού (ΕΕ) 2016/1149 και σύμφωνα με την παρ. 3 του άρθρου 2 του κατ’ εξουσιοδότηση Κανονισμού (ΕΕ) 2020/884, όπως αυτή τροποποιήθηκε με την περ. 2 του άρθρου 1 του κατ’ εξουσιοδότηση Κανονισμού (ΕΕ) 2021/2027, οι δικαιούχοι μπορούν, σε δεόντως αιτιολογημένες περιπτώσεις που σχετίζονται με την πανδημία COVID-19, να πραγματοποιούν έως την ημερομηνία λήξης υλοποίησης των δράσεων των προγραμμάτων ενημέρωσης, αλλαγές, χωρίς προηγούμενη έγκριση, υπό την προϋπόθεση ότι οι αλλαγές αυτές δεν επηρεάζουν την επιλεξιμότητα οποιουδήποτε μέρους της δράσης και των συνολικών στόχων της και υπό την προϋπόθεση ότι δεν γίνεται υπέρβαση του συνολικού ποσού της εγκριθείσας στήριξης. Οι δικαιούχοι κοινοποιούν τις αλλαγές αυτές στις αρμόδιες αρχές των παρ. 1 και 3 του άρθρου 3 της παρούσας, το αργότερο είκοσι (20) ημερολογιακές ημέρες πριν τον προβλεπόμενο χρόνο εκτέλεσης της δράσης στην οποία αφορά η αλλαγή.</w:t>
      </w:r>
    </w:p>
    <w:p>
      <w:pPr>
        <w:spacing w:before="240" w:after="240"/>
        <w:rPr>
          <w:lang w:val="el" w:eastAsia="el"/>
        </w:rPr>
      </w:pPr>
      <w:r>
        <w:rPr>
          <w:lang w:val="el" w:eastAsia="el"/>
        </w:rPr>
        <w:t>7. Από τη 16η Οκτωβρίου 2021 και για το οικονομικό έτος 2022, κατά παρέκκλιση από την παρ. 1 του άρθρου 53 του κατ’ εξουσιοδότηση Κανονισμού (ΕΕ) 2016/1149 και σύμφωνα με την παρ. 4 του άρθρου 2 του κατ’ εξουσιοδότηση Κανονισμού (ΕΕ) 2020/884, όπως αυτή τροποποιήθηκε με την περ. 2 του άρθρου 1 του κατ’ εξουσιοδότηση Κανονισμού (ΕΕ) 2021/2027, οι δικαιούχοι μπορούν, σε δεόντως αιτιολογημένες περιπτώσεις που συνδέονται με την πανδημία COVID-19, να προτείνουν αλλαγές οι οποίες τροποποιούν τον στόχο της συνολικής δράσης που έχει ήδη εγκριθεί, υπό την προϋπόθεση ότι πραγματοποιούνται έως την ημερομηνία λήξης υλοποίησης των δράσεων των προγραμμάτων ενημέρωσης και ότι τυχόν εν εξελίξει επιμέρους ενέργειες που αποτελούν μέρος της συνολικής δράσης έχουν ολοκληρωθεί. Για τις αλλαγές αυτές, οι δικαιούχοι υποβάλλουν αίτηση στην αρμόδια αρχή της παρ. 1 του άρθρου 3 της παρούσας, το αργότερο είκοσι (20) ημερολογιακές ημέρες πριν τον προβλεπόμενο χρόνο εκτέλεσης της δράσης στην οποία αφορά η αλλαγή. Η αίτηση εξετάζεται από την αρμόδια αρχή εντός δέκα (10) ημερολογιακών ημερών από την ημερομηνία κατάθεσής της. Η αρμόδια αρχή ενημερώνει τον αιτούντα για την έγκριση ή απόρριψη της αίτησης εντός πέντε (5) εργάσιμων ημερών από την ολοκλήρωση της εξέτασης. Για την υλοποίηση των αλλαγών αυτών απαιτείται τροποποίηση της σύμβασης μεταξύ του δικαιούχου και του ΥΠΑΑΤ και η ισχύς τους ξεκινά από την ημερομηνία υπογραφής της τροποποιημένης σύμβασης. Αντίγραφο της τροποποιημένης σύμβασης αποστέλλεται στον Ο.Π.Ε.Κ.Ε.Π.Ε. εντός δέκα (10) ημερολογιακών ημερών από την υπογραφή της.».</w:t>
      </w:r>
    </w:p>
    <w:p>
      <w:pPr>
        <w:pStyle w:val="MainText"/>
        <w:spacing w:before="120" w:after="0"/>
        <w:rPr>
          <w:lang w:val="el" w:eastAsia="el"/>
        </w:rPr>
      </w:pPr>
      <w:r>
        <w:rPr>
          <w:b/>
          <w:bCs/>
          <w:lang w:val="el" w:eastAsia="el"/>
        </w:rPr>
        <w:t>2.</w:t>
      </w:r>
      <w:r>
        <w:rPr>
          <w:lang w:val="el" w:eastAsia="el"/>
        </w:rPr>
        <w:t xml:space="preserve"> Στην περ. α’ της παρ. 7 του άρθρου 24 προστίθεται εδάφιο ως εξής:</w:t>
      </w:r>
    </w:p>
    <w:p>
      <w:pPr>
        <w:spacing w:before="240" w:after="240"/>
        <w:rPr>
          <w:lang w:val="el" w:eastAsia="el"/>
        </w:rPr>
      </w:pPr>
      <w:r>
        <w:rPr>
          <w:lang w:val="el" w:eastAsia="el"/>
        </w:rPr>
        <w:t>«Το προηγούμενο εδάφιο εφαρμόζεται και για το οικονομικό έτος 2022, σύμφωνα με την παρ. 1 του άρθρου 7 του εκτελεστικού Κανονισμού (ΕΕ) 2022/1216.».</w:t>
      </w:r>
    </w:p>
    <w:p>
      <w:pPr>
        <w:pStyle w:val="MainText"/>
        <w:spacing w:before="120" w:after="0"/>
        <w:rPr>
          <w:lang w:val="el" w:eastAsia="el"/>
        </w:rPr>
      </w:pPr>
      <w:r>
        <w:rPr>
          <w:b/>
          <w:bCs/>
          <w:lang w:val="el" w:eastAsia="el"/>
        </w:rPr>
        <w:t>3.</w:t>
      </w:r>
      <w:r>
        <w:rPr>
          <w:lang w:val="el" w:eastAsia="el"/>
        </w:rPr>
        <w:t xml:space="preserve"> Στην παρ. 3 του άρθρου 25 προστίθεται εδάφιο ως εξής:</w:t>
      </w:r>
    </w:p>
    <w:p>
      <w:pPr>
        <w:spacing w:before="240" w:after="240"/>
        <w:rPr>
          <w:lang w:val="el" w:eastAsia="el"/>
        </w:rPr>
      </w:pPr>
      <w:r>
        <w:rPr>
          <w:lang w:val="el" w:eastAsia="el"/>
        </w:rPr>
        <w:t>«Για το οικονομικό έτος 2022, σε δεόντως αιτιολογημένες περιπτώσεις που σχετίζονται με την πανδημία COVID-19, δεν εφαρμόζονται οι παρ. 1 και 2.».</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Αυγούστου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 και Επενδύσεων Εξωτερικών</w:t>
      </w:r>
    </w:p>
    <w:p>
      <w:pPr>
        <w:spacing w:before="240" w:after="240"/>
        <w:rPr>
          <w:lang w:val="el" w:eastAsia="el"/>
        </w:rPr>
      </w:pPr>
      <w:r>
        <w:rPr>
          <w:b/>
          <w:bCs/>
          <w:lang w:val="el" w:eastAsia="el"/>
        </w:rPr>
        <w:t>ΣΠΥΡΙΔΩΝ - ΑΔΩΝΗΣ ΝΙΚΟΛΑΟΣ - ΓΕΩΡΓΙΟΣ ΓΕΩΡΓΙΑΔΗΣ ΔΕΝΔΙΑΣ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ΓΕΩΡΓΙΟΣ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