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114268 ΕΞ 202</w:t>
      </w:r>
      <w:r>
        <w:rPr>
          <w:lang w:val="el" w:eastAsia="el"/>
        </w:rPr>
        <w:t xml:space="preserve">2 </w:t>
      </w:r>
    </w:p>
    <w:p>
      <w:pPr>
        <w:spacing w:before="240" w:after="240"/>
        <w:rPr>
          <w:lang w:val="el" w:eastAsia="el"/>
        </w:rPr>
      </w:pPr>
      <w:r>
        <w:rPr>
          <w:b/>
          <w:bCs/>
          <w:lang w:val="el" w:eastAsia="el"/>
        </w:rPr>
        <w:t>Τροποποίηση της υπό στοιχεία 148348 ΕΞ 2020/ 28.12.2020 απόφασης του Υπουργού και του Αναπληρωτή Υπουργού Οικονομικών «Παράταση προθεσμιών εξέτασης αιτήσεων εξώδικης επίλυσης φορολογικών διαφορών της Επιτροπής Εξώδικης Επίλυσης Φορολογικών Διαφορών του άρθρου 16 του ν. 4714/2020 (Α’ 148)» (Β’ 5825).</w:t>
      </w:r>
    </w:p>
    <w:p>
      <w:pPr>
        <w:spacing w:before="240" w:after="240"/>
        <w:rPr>
          <w:lang w:val="el" w:eastAsia="el"/>
        </w:rPr>
      </w:pPr>
      <w:r>
        <w:rPr>
          <w:b/>
          <w:bCs/>
          <w:lang w:val="el" w:eastAsia="el"/>
        </w:rPr>
        <w:t>Ο ΥΠΟΥΡΓΟΣ ΚΑΙ</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Tην παρ. 11 καθώς και τις παρ. 3 και 6 του άρθρου 16 του ν. 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 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(Α’ 148), όπως αντικαταστάθηκαν με το άρθρο 60 του ν. 4949/2022 «Ενσωμάτωση της παρ. 5 του άρθρου 1 της Οδηγίας (ΕΕ) 2017/952 του Συμβουλίου της 29ης Μαΐου 2017 για την τροποποίηση της Οδηγίας (ΕΕ) 2016/1164 όσον αφορά τις ασυμφωνίες στη μεταχείριση υβριδικών μέσων με τρίτες χώρες (L 144), κύρωση της Σύμβασης μεταξύ του Ελληνικού Δημοσίου και της Επιχείρησης Καζίνο Ευρέoς Φάσματος Ελληνικού Ανώνυμη Εταιρεία, για την παραχώρηση άδειας λειτουργίας επιχείρησης καζίνο (ΕΚΑΖ) ευρέος φάσματος δραστηριοτήτων στον Μητροπολιτικό Πόλο Ελληνικού - Αγίου Κοσμά, θέσπιση ολοκληρωμένου πλαισίου για την απόδοση βιώσιμης προοπτικής ανάπτυξης και την εκ νέου λειτουργία των Ναυπηγείων Σκαραμαγκά, τροποποιήσεις του Κώδικα Αναγκαστικών Απαλλοτριώσεων Ακινήτων και του Οργανισμού του Νομικού Συμβουλίου του Κράτους, επείγουσες φορολογικές και τελωνειακές ρυθμίσεις και άλλες επείγουσες διατάξεις» (Α’ 126).</w:t>
      </w:r>
    </w:p>
    <w:p>
      <w:pPr>
        <w:pStyle w:val="StructureList1"/>
        <w:spacing w:before="120" w:after="0"/>
        <w:rPr>
          <w:lang w:val="el" w:eastAsia="el"/>
        </w:rPr>
      </w:pPr>
      <w:r>
        <w:rPr>
          <w:lang w:val="el" w:eastAsia="el"/>
        </w:rPr>
        <w:t>β)</w:t>
      </w:r>
      <w:r>
        <w:rPr>
          <w:lang w:val="en" w:eastAsia="en"/>
        </w:rPr>
        <w:tab/>
      </w:r>
      <w:r>
        <w:rPr>
          <w:lang w:val="el" w:eastAsia="el"/>
        </w:rPr>
        <w:t>Τα άρθρα 76 και 77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γ)</w:t>
      </w:r>
      <w:r>
        <w:rPr>
          <w:lang w:val="en" w:eastAsia="en"/>
        </w:rPr>
        <w:tab/>
      </w:r>
      <w:r>
        <w:rPr>
          <w:lang w:val="el" w:eastAsia="el"/>
        </w:rPr>
        <w:t>Την περ. ε’) της παρ. 5 του άρθρου 24 και την παρ. 3 του άρθρου 77 του ν. 4270/2014 «Αρχές δημοσιονομικής διαχείρισης και εποπτείας (ενσωμάτωση της Οδηγίας 2011/85/ 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Την παρ. 2 του άρθρου 5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ε)</w:t>
      </w:r>
      <w:r>
        <w:rPr>
          <w:lang w:val="en" w:eastAsia="en"/>
        </w:rPr>
        <w:tab/>
      </w:r>
      <w:r>
        <w:rPr>
          <w:lang w:val="el" w:eastAsia="el"/>
        </w:rPr>
        <w:t>Το άρθρο 90 του Κώδικα της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Το π.δ. 142/2017 «Οργανισμός Υπουργείου Οικονομικών» (Α’ 181).</w:t>
      </w:r>
    </w:p>
    <w:p>
      <w:pPr>
        <w:pStyle w:val="StructureList1"/>
        <w:spacing w:before="120" w:after="0"/>
        <w:rPr>
          <w:lang w:val="el" w:eastAsia="el"/>
        </w:rPr>
      </w:pPr>
      <w:r>
        <w:rPr>
          <w:lang w:val="el" w:eastAsia="el"/>
        </w:rPr>
        <w:t>ζ)</w:t>
      </w:r>
      <w:r>
        <w:rPr>
          <w:lang w:val="en" w:eastAsia="en"/>
        </w:rPr>
        <w:tab/>
      </w:r>
      <w:r>
        <w:rPr>
          <w:lang w:val="el" w:eastAsia="el"/>
        </w:rPr>
        <w:t>Το π.δ. 83/2019 «Διορισμός Αντιπροέδρου της Κυβέρνησης, Υπουργών, Αναπληρωτών Υπουργών και Υφυπουργών» (Α’ 121 και Α’ 126 Διορθώσεις Σφαλμάτων).</w:t>
      </w:r>
    </w:p>
    <w:p>
      <w:pPr>
        <w:pStyle w:val="StructureList1"/>
        <w:spacing w:before="120" w:after="0"/>
        <w:rPr>
          <w:lang w:val="el" w:eastAsia="el"/>
        </w:rPr>
      </w:pPr>
      <w:r>
        <w:rPr>
          <w:lang w:val="el" w:eastAsia="el"/>
        </w:rPr>
        <w:t>η)</w:t>
      </w:r>
      <w:r>
        <w:rPr>
          <w:lang w:val="en" w:eastAsia="en"/>
        </w:rPr>
        <w:tab/>
      </w:r>
      <w:r>
        <w:rPr>
          <w:lang w:val="el" w:eastAsia="el"/>
        </w:rPr>
        <w:t>Το π.δ. 84/2019 «Σύσταση και κατάργηση Γενικών Γραμματειών και Ειδικών Γραμματειών/Ενιαίων Διοικητικών Τομέων Υπουργείων» (Α’ 123).</w:t>
      </w:r>
    </w:p>
    <w:p>
      <w:pPr>
        <w:spacing w:before="240" w:after="240"/>
        <w:rPr>
          <w:lang w:val="el" w:eastAsia="el"/>
        </w:rPr>
      </w:pPr>
      <w:r>
        <w:rPr>
          <w:lang w:val="el" w:eastAsia="el"/>
        </w:rPr>
        <w:t>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3. Την υπό στοιχεία 127519 ΕΞ 2020/6.11.2020 απόφαση του Υπουργού Οικονομικών «Καθορισμός των θεμάτων λειτουργίας της Επιτροπής Εξώδικης Επίλυσης Φορολογικών Διαφορών», (Β’ 4939, ΑΔΑ: ΨΠΦΞΗ-3ΥΝ), όπως έχει τροποποιηθεί με τις υπό στοιχεία 68225 ΕΞ 2021/09.06.2021 (Β’ 2666, ΑΔΑ: Ω01ΧΗ-ΩΩΛ) και 134649 ΕΞ 2021/27.10.2021 (Β’ 5023, ΑΔΑ: ΨΤΣ2Η-Ρ7Α) όμοιες.</w:t>
      </w:r>
    </w:p>
    <w:p>
      <w:pPr>
        <w:spacing w:before="240" w:after="240"/>
        <w:rPr>
          <w:lang w:val="el" w:eastAsia="el"/>
        </w:rPr>
      </w:pPr>
      <w:r>
        <w:rPr>
          <w:lang w:val="el" w:eastAsia="el"/>
        </w:rPr>
        <w:t>4. α) Την υπό στοιχεία 148348 ΕΞ 2020/28.12.2020 απόφαση του Υπουργού και του Αναπληρωτή Υπουργού Οικονομικών «Παράταση προθεσμιών εξέτασης αιτήσεων εξώδικης επίλυσης φορολογικών διαφορών της Επιτροπής Εξώδικης Επίλυσης Φορολογικών Διαφορών του άρθρου 16 του ν. 4714/2020 (Α’ 148)» (Β’ 5825), όπως έχει τροποποιηθεί με τις υπό στοιχεία 37414 ΕΞ 2021/29.03.2021 (Β’ 1227), 134647 ΕΞ 2021/27.10.2021 (Β’ 5023), και 43326 ΕΞ 2022/31.03.2022 (Β’ 1538) όμοιες.</w:t>
      </w:r>
    </w:p>
    <w:p>
      <w:pPr>
        <w:pStyle w:val="StructureList1"/>
        <w:spacing w:before="120" w:after="0"/>
        <w:rPr>
          <w:lang w:val="el" w:eastAsia="el"/>
        </w:rPr>
      </w:pPr>
      <w:r>
        <w:rPr>
          <w:lang w:val="el" w:eastAsia="el"/>
        </w:rPr>
        <w:t>β)</w:t>
      </w:r>
      <w:r>
        <w:rPr>
          <w:lang w:val="en" w:eastAsia="en"/>
        </w:rPr>
        <w:tab/>
      </w:r>
      <w:r>
        <w:rPr>
          <w:lang w:val="el" w:eastAsia="el"/>
        </w:rPr>
        <w:t>Την υπό στοιχεία 106664 ΕΞ 2022/25.7.2022 εισήγηση της Προϊσταμένης της Γενικής Διεύθυνσης Οικονομικών Υπηρεσιών του Υπουργείου Οικονομικών.</w:t>
      </w:r>
    </w:p>
    <w:p>
      <w:pPr>
        <w:spacing w:before="240" w:after="240"/>
        <w:rPr>
          <w:lang w:val="el" w:eastAsia="el"/>
        </w:rPr>
      </w:pPr>
      <w:r>
        <w:rPr>
          <w:lang w:val="el" w:eastAsia="el"/>
        </w:rPr>
        <w:t>5. Το γεγονός ότι από την παράταση των ανωτέρω προθεσμιών δεν προκαλείται επιπλέον επιβάρυνση στον προϋπολογισμό του Υπουργείου Οικονομικών για το τρέχον οικονομικό έτος και για το επόμενο έτος του εγκεκριμένου ΜΠΔΣ, πέραν αυτής που προκλήθηκε από την ψήφιση του άρθρου 60 «Παράταση υποβολής αιτήσεων και λειτουργίας Επιτροπής Εξώδικης Επίλυσης Φορολογικών Διαφορών - Τροποποίηση παρ. 3 και 6 άρθρου 16 του ν. 4714/2020» του ν. 4949/2022 (Α’ 126), για την οποία ισχύει η υπό στοιχεία 88543 ΕΞ 2022/23.6.2022 εισήγηση της Προϊσταμένης της Γενικής Διεύθυνσης Οικονομικών Υπηρεσιών του Υπουργείου Οικονομικών, αποφασίζουμε:</w:t>
      </w:r>
    </w:p>
    <w:p>
      <w:pPr>
        <w:spacing w:before="240" w:after="240"/>
        <w:rPr>
          <w:lang w:val="el" w:eastAsia="el"/>
        </w:rPr>
      </w:pPr>
      <w:r>
        <w:rPr>
          <w:lang w:val="el" w:eastAsia="el"/>
        </w:rPr>
        <w:t>Τροποποιούμε την υπό στοιχεία 148348 ΕΞ 2020/ 28.12.2020 (Β’ 5825) απόφαση του Υπουργού και του Αναπληρωτή Υπουργού Οικονομικών, ως εξής:</w:t>
      </w:r>
    </w:p>
    <w:p>
      <w:pPr>
        <w:spacing w:before="240" w:after="240"/>
        <w:rPr>
          <w:lang w:val="el" w:eastAsia="el"/>
        </w:rPr>
      </w:pPr>
      <w:r>
        <w:rPr>
          <w:lang w:val="el" w:eastAsia="el"/>
        </w:rPr>
        <w:t>Ι. Παρατείνουμε εκ νέου τις προθεσμίες της παρ. 3 του άρθρου 16 του ν. 4714/2020 (Α’ 148), όπως έχουν παραταθεί με τις υπό στοιχείο 4α) του προοιμίου αποφάσεις, ως εξής:</w:t>
      </w:r>
    </w:p>
    <w:p>
      <w:pPr>
        <w:spacing w:before="240" w:after="240"/>
        <w:rPr>
          <w:lang w:val="el" w:eastAsia="el"/>
        </w:rPr>
      </w:pPr>
      <w:r>
        <w:rPr>
          <w:lang w:val="el" w:eastAsia="el"/>
        </w:rPr>
        <w:t>Την προθεσμία υποβολής αιτήσεων ενώπιον της Επιτροπής Εξώδικης Επίλυσης Φορολογικών Διαφορών έως και την 30ή Δεκεμβρίου 2022. Το αίτημα μπορεί να αφορά μόνο σε υποθέσεις που εκκρεμούν και δεν έχουν συζητηθεί ενώπιον του Συμβουλίου της Επικρατείας και των τακτικών διοικητικών δικαστηρίων έως τις 29 Ιουλίου 2022. Το προηγούμενο εδάφιο καταλαμβάνει και τις εκκρεμείς υποθέσεις ενώπιον της ανωτέρω Επιτροπής.</w:t>
      </w:r>
    </w:p>
    <w:p>
      <w:pPr>
        <w:spacing w:before="240" w:after="240"/>
        <w:rPr>
          <w:lang w:val="el" w:eastAsia="el"/>
        </w:rPr>
      </w:pPr>
      <w:r>
        <w:rPr>
          <w:lang w:val="el" w:eastAsia="el"/>
        </w:rPr>
        <w:t>Σε υποθέσεις για τις οποίες είχε υποβληθεί αίτηση και απορρίφθηκαν από την Επιτροπή για τυπικούς λόγους, επιτρέπεται η υποβολή νέας αίτησης εντός της ως άνω προθεσμίας.</w:t>
      </w:r>
    </w:p>
    <w:p>
      <w:pPr>
        <w:spacing w:before="240" w:after="240"/>
        <w:rPr>
          <w:lang w:val="el" w:eastAsia="el"/>
        </w:rPr>
      </w:pPr>
      <w:r>
        <w:rPr>
          <w:lang w:val="el" w:eastAsia="el"/>
        </w:rPr>
        <w:t>ΙΙ. Παρατείνουμε εκ νέου τις προθεσμίες της παρ. 6 του άρθρου 16 του ν. 4714/2020 (Α’ 148) όπως έχουν παραταθεί με τις υπό στοιχείο 4α) του προοιμίου αποφάσεις, ως εξής:</w:t>
      </w:r>
    </w:p>
    <w:p>
      <w:pPr>
        <w:pStyle w:val="StructureList1"/>
        <w:spacing w:before="120" w:after="0"/>
        <w:rPr>
          <w:lang w:val="el" w:eastAsia="el"/>
        </w:rPr>
      </w:pPr>
      <w:r>
        <w:rPr>
          <w:lang w:val="el" w:eastAsia="el"/>
        </w:rPr>
        <w:t>α)</w:t>
      </w:r>
      <w:r>
        <w:rPr>
          <w:lang w:val="en" w:eastAsia="en"/>
        </w:rPr>
        <w:tab/>
      </w:r>
      <w:r>
        <w:rPr>
          <w:lang w:val="el" w:eastAsia="el"/>
        </w:rPr>
        <w:t>Την προθεσμία ολοκλήρωσης της εξέτασης των αιτήσεων εξώδικης επίλυσης από τις 30 Σεπτεμβρίου 2022 έως και τις 30 Ιουνίου 2023 και</w:t>
      </w:r>
    </w:p>
    <w:p>
      <w:pPr>
        <w:pStyle w:val="StructureList1"/>
        <w:spacing w:before="120" w:after="0"/>
        <w:rPr>
          <w:lang w:val="el" w:eastAsia="el"/>
        </w:rPr>
      </w:pPr>
      <w:r>
        <w:rPr>
          <w:lang w:val="el" w:eastAsia="el"/>
        </w:rPr>
        <w:t>β)</w:t>
      </w:r>
      <w:r>
        <w:rPr>
          <w:lang w:val="en" w:eastAsia="en"/>
        </w:rPr>
        <w:tab/>
      </w:r>
      <w:r>
        <w:rPr>
          <w:lang w:val="el" w:eastAsia="el"/>
        </w:rPr>
        <w:t>Την προθεσμία έκδοσης των πρακτικών εξώδικης επίλυσης από τις 30 Νοεμβρίου 2022 έως και τις 29 Σεπτεμβρίου 2023, ημερομηνία κατά την οποία λήγει η θητεία του Γενικού Προϊσταμένου, των μελών των Επιτροπών και των Γραμματέων.</w:t>
      </w:r>
    </w:p>
    <w:p>
      <w:pPr>
        <w:spacing w:before="240" w:after="240"/>
        <w:rPr>
          <w:lang w:val="el" w:eastAsia="el"/>
        </w:rPr>
      </w:pPr>
      <w:r>
        <w:rPr>
          <w:lang w:val="el" w:eastAsia="el"/>
        </w:rPr>
        <w:t>Αιτήσεις που δεν θα εξεταστούν μέχρι τις 30 Ιουνίου 2023 θεωρείται ότι απορρίφθηκαν σιωπηρά και επανεισάγονται με επιμέλεια της Γραμματείας της Επιτροπής στο αρμόδιο Δικαστήριο, χωρίς τη σύνταξη πρακτικού.</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Αυγούστου 2022</w:t>
      </w:r>
    </w:p>
    <w:p>
      <w:pPr>
        <w:spacing w:before="240" w:after="240"/>
        <w:rPr>
          <w:lang w:val="el" w:eastAsia="el"/>
        </w:rPr>
      </w:pPr>
      <w:r>
        <w:rPr>
          <w:lang w:val="el" w:eastAsia="el"/>
        </w:rPr>
        <w:t>Ο Υπουργός Ο Αναπληρωτής Υπουργός</w:t>
      </w:r>
    </w:p>
    <w:p>
      <w:pPr>
        <w:spacing w:before="240" w:after="240"/>
        <w:rPr>
          <w:lang w:val="el" w:eastAsia="el"/>
        </w:rPr>
      </w:pPr>
      <w:r>
        <w:rPr>
          <w:b/>
          <w:bCs/>
          <w:lang w:val="el" w:eastAsia="el"/>
        </w:rPr>
        <w:t>ΧΡΗΣΤΟΣ ΣΤΑΪΚΟΥΡΑΣ 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